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b/>
          <w:bCs/>
          <w:color w:val="1565C0"/>
          <w:sz w:val="36"/>
          <w:szCs w:val="36"/>
        </w:rPr>
        <w:t xml:space="preserve">Escritório de Investimentos VcRiquinho</w:t>
      </w:r>
    </w:p>
    <w:p>
      <w:pPr>
        <w:spacing w:before="0" w:after="60"/>
        <w:jc w:val="center"/>
      </w:pPr>
      <w:r>
        <w:rPr>
          <w:i/>
          <w:iCs/>
          <w:color w:val="555555"/>
          <w:sz w:val="24"/>
          <w:szCs w:val="24"/>
        </w:rPr>
        <w:t xml:space="preserve">Documento de Design e Justificativas do Protótipo</w:t>
      </w:r>
    </w:p>
    <w:p>
      <w:pPr>
        <w:spacing w:before="0" w:after="400"/>
        <w:jc w:val="center"/>
      </w:pPr>
      <w:r>
        <w:rPr>
          <w:color w:val="888888"/>
          <w:sz w:val="20"/>
          <w:szCs w:val="20"/>
        </w:rPr>
        <w:t xml:space="preserve">IFSP Guarulhos — POO Prof. Giovani</w:t>
      </w:r>
    </w:p>
    <w:p>
      <w:pPr>
        <w:pStyle w:val="Heading1"/>
        <w:spacing w:before="320" w:after="120"/>
      </w:pPr>
      <w:r>
        <w:rPr>
          <w:b/>
          <w:bCs/>
          <w:color w:val="1565C0"/>
          <w:sz w:val="28"/>
          <w:szCs w:val="28"/>
        </w:rPr>
        <w:t xml:space="preserve">1. Visão Geral</w:t>
      </w:r>
    </w:p>
    <w:p>
      <w:pPr>
        <w:spacing w:before="80" w:after="80"/>
      </w:pPr>
      <w:r>
        <w:rPr>
          <w:sz w:val="22"/>
          <w:szCs w:val="22"/>
        </w:rPr>
        <w:t xml:space="preserve">O protótipo implementa um sistema de gestão de clientes e investimentos para a startup VcRiquinho. Cobre CRUD de clientes (PF/PJ) e produtos financeiros (Renda Fixa/Variável), gerenciamento de contas (Corrente, CDI e Investimento Automático) e simulação de rendimentos para períodos de 30, 60, 90 ou 180 dias com cálculo da taxa de serviço.</w:t>
      </w:r>
    </w:p>
    <w:p>
      <w:pPr>
        <w:pStyle w:val="Heading1"/>
        <w:spacing w:before="320" w:after="120"/>
      </w:pPr>
      <w:r>
        <w:rPr>
          <w:b/>
          <w:bCs/>
          <w:color w:val="1565C0"/>
          <w:sz w:val="28"/>
          <w:szCs w:val="28"/>
        </w:rPr>
        <w:t xml:space="preserve">2. Hierarquia de Classes e Escolhas de Design</w:t>
      </w:r>
    </w:p>
    <w:p>
      <w:pPr>
        <w:pStyle w:val="Heading2"/>
        <w:spacing w:before="200" w:after="80"/>
      </w:pPr>
      <w:r>
        <w:rPr>
          <w:b/>
          <w:bCs/>
          <w:color w:val="0D47A1"/>
          <w:sz w:val="24"/>
          <w:szCs w:val="24"/>
        </w:rPr>
        <w:t xml:space="preserve">2.1 Interface Rentavel</w:t>
      </w:r>
    </w:p>
    <w:p>
      <w:pPr>
        <w:spacing w:before="80" w:after="80"/>
      </w:pPr>
      <w:r>
        <w:rPr>
          <w:sz w:val="22"/>
          <w:szCs w:val="22"/>
        </w:rPr>
        <w:t xml:space="preserve">O contrato calcularRendimento(int dias) foi extraído para a interface Rentavel, aplicada tanto a ProdutoFinanceiro quanto a Conta. Isso garante que qualquer novo tipo de conta ou produto seja compatível com o SimulacaoService sem alteração no código existente (princípio Aberto/Fechado).</w:t>
      </w:r>
    </w:p>
    <w:p>
      <w:pPr>
        <w:pStyle w:val="Heading2"/>
        <w:spacing w:before="200" w:after="80"/>
      </w:pPr>
      <w:r>
        <w:rPr>
          <w:b/>
          <w:bCs/>
          <w:color w:val="0D47A1"/>
          <w:sz w:val="24"/>
          <w:szCs w:val="24"/>
        </w:rPr>
        <w:t xml:space="preserve">2.2 Hierarquia de Clientes</w:t>
      </w:r>
    </w:p>
    <w:p>
      <w:pPr>
        <w:spacing w:before="80" w:after="80"/>
      </w:pPr>
      <w:r>
        <w:rPr>
          <w:sz w:val="22"/>
          <w:szCs w:val="22"/>
        </w:rPr>
        <w:t xml:space="preserve">A classe abstrata Cliente concentra os atributos comuns (id, nome, email, lista de contas) e o método abstrato getDocumento(), implementado de forma diferente por: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ClientePF — armazena CPF; flag pessoaJuridica=false nas contas de investimento.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ClientePJ — armazena CNPJ; flag pessoaJuridica=true, resultando em taxa de 0.15% vs 0.10%.</w:t>
      </w:r>
    </w:p>
    <w:p>
      <w:pPr>
        <w:spacing w:before="80" w:after="80"/>
      </w:pPr>
      <w:r>
        <w:rPr>
          <w:sz w:val="22"/>
          <w:szCs w:val="22"/>
        </w:rPr>
        <w:t xml:space="preserve">A lista de contas vive na classe-base, mas é do cliente adicionar/remover. A validação de mínimo 1 conta é feita no repositório na criação.</w:t>
      </w:r>
    </w:p>
    <w:p>
      <w:pPr>
        <w:pStyle w:val="Heading2"/>
        <w:spacing w:before="200" w:after="80"/>
      </w:pPr>
      <w:r>
        <w:rPr>
          <w:b/>
          <w:bCs/>
          <w:color w:val="0D47A1"/>
          <w:sz w:val="24"/>
          <w:szCs w:val="24"/>
        </w:rPr>
        <w:t xml:space="preserve">2.3 Hierarquia de Contas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13"/>
        <w:gridCol w:w="2313"/>
        <w:gridCol w:w="2000"/>
      </w:tblGrid>
      <w:t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Conta</w:t>
            </w:r>
          </w:p>
        </w:tc>
        <w:tc>
          <w:tcPr>
            <w:tcW w:type="dxa" w:w="231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Rendimento</w:t>
            </w:r>
          </w:p>
        </w:tc>
        <w:tc>
          <w:tcPr>
            <w:tcW w:type="dxa" w:w="231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Taxa Serviço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ContaCorrente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Depósito apenas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ContaCDI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CDI/30 por dia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0,07% sobre ganhos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CDI ref. 10,65% a.a.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ContaInvestimentoAutomatico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Soma dos produtos ativos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0,1% PF / 0,15% PJ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Carência verificada</w:t>
            </w:r>
          </w:p>
        </w:tc>
      </w:tr>
    </w:tbl>
    <w:p>
      <w:pPr>
        <w:pStyle w:val="Heading2"/>
        <w:spacing w:before="200" w:after="80"/>
      </w:pPr>
      <w:r>
        <w:rPr>
          <w:b/>
          <w:bCs/>
          <w:color w:val="0D47A1"/>
          <w:sz w:val="24"/>
          <w:szCs w:val="24"/>
        </w:rPr>
        <w:t xml:space="preserve">2.4 Hierarquia de Produtos Financeiros</w:t>
      </w:r>
    </w:p>
    <w:p>
      <w:pPr>
        <w:spacing w:before="80" w:after="80"/>
      </w:pPr>
      <w:r>
        <w:rPr>
          <w:sz w:val="22"/>
          <w:szCs w:val="22"/>
        </w:rPr>
        <w:t xml:space="preserve">ProdutoFinanceiro é abstrato e implementa Rentavel. As subclasses 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ProdutoRendaFixa — adiciona carenciaDias. Se dias &lt; carência, calcularRendimento() retorna 0 e o sistema informa o operador.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ProdutoRendaVariavel — usa o rendimentoMensal esperado (histórico) sem restrição de carência.</w:t>
      </w:r>
    </w:p>
    <w:p>
      <w:pPr>
        <w:pStyle w:val="Heading2"/>
        <w:spacing w:before="200" w:after="80"/>
      </w:pPr>
      <w:r>
        <w:rPr>
          <w:b/>
          <w:bCs/>
          <w:color w:val="0D47A1"/>
          <w:sz w:val="24"/>
          <w:szCs w:val="24"/>
        </w:rPr>
        <w:t xml:space="preserve">2.5 Repositórios (CRUD)</w:t>
      </w:r>
    </w:p>
    <w:p>
      <w:pPr>
        <w:spacing w:before="80" w:after="80"/>
      </w:pPr>
      <w:r>
        <w:rPr>
          <w:sz w:val="22"/>
          <w:szCs w:val="22"/>
        </w:rPr>
        <w:t xml:space="preserve">ClienteRepositorio e ProdutoRepositorio encapsulam listas em memória com operações criar, ler, atualizar e remover. Isso isola a lógica de persistência das classes de domínio, facilitando a futura migração para banco de dados.</w:t>
      </w:r>
    </w:p>
    <w:p>
      <w:pPr>
        <w:pStyle w:val="Heading2"/>
        <w:spacing w:before="200" w:after="80"/>
      </w:pPr>
      <w:r>
        <w:rPr>
          <w:b/>
          <w:bCs/>
          <w:color w:val="0D47A1"/>
          <w:sz w:val="24"/>
          <w:szCs w:val="24"/>
        </w:rPr>
        <w:t xml:space="preserve">2.6 SimulacaoService</w:t>
      </w:r>
    </w:p>
    <w:p>
      <w:pPr>
        <w:spacing w:before="80" w:after="80"/>
      </w:pPr>
      <w:r>
        <w:rPr>
          <w:sz w:val="22"/>
          <w:szCs w:val="22"/>
        </w:rPr>
        <w:t xml:space="preserve">Recebe um Cliente e um período em dias, percorre todas as suas contas e, via polimorfismo, chama calcularRendimento() e calcularTaxaServico() de cada implementação concreta. Exibe um relatório detalhado por conta e um totalizador ao final.</w:t>
      </w:r>
    </w:p>
    <w:p>
      <w:pPr>
        <w:pStyle w:val="Heading1"/>
        <w:spacing w:before="320" w:after="120"/>
      </w:pPr>
      <w:r>
        <w:rPr>
          <w:b/>
          <w:bCs/>
          <w:color w:val="1565C0"/>
          <w:sz w:val="28"/>
          <w:szCs w:val="28"/>
        </w:rPr>
        <w:t xml:space="preserve">3. Diagrama de Classes (Simplificado)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Rentavel (interface)  ←  ProdutoFinanceiro (abstract)  ←  ProdutoRendaFixa / ProdutoRendaVariavel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Conta (abstract)  ←  ContaCorrente / ContaCDI / ContaInvestimentoAutomatico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Cliente (abstract)  ←  ClientePF / ClientePJ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ClienteRepositorio  →  Cliente     |     ProdutoRepositorio  →  ProdutoFinanceiro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SimulacaoService  →  Cliente  →  Conta  →  ProdutoFinanceiro</w:t>
      </w:r>
    </w:p>
    <w:p>
      <w:pPr>
        <w:pStyle w:val="Heading1"/>
        <w:spacing w:before="320" w:after="120"/>
      </w:pPr>
      <w:r>
        <w:rPr>
          <w:b/>
          <w:bCs/>
          <w:color w:val="1565C0"/>
          <w:sz w:val="28"/>
          <w:szCs w:val="28"/>
        </w:rPr>
        <w:t xml:space="preserve">4. Regras de Negócio Implementadas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Carência de Renda Fixa: se dias &lt; carenciaDias, o produto é ignorado na simulação e o operador é avisado.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Período de simulação restrito a 30, 60, 90 ou 180 dias, com rejeição de valores inválidos.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Taxa PF (0,1%) vs PJ (0,15%) na Conta de Investimento Automático.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Taxa fixa CDI de 0,07% sobre os ganhos da ContaCDI.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ContaCorrente não gera rendimento nem taxa de serviço.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Todo cliente deve ter pelo menos uma conta — validado na inserção do repositório.</w:t>
      </w:r>
    </w:p>
    <w:p>
      <w:pPr>
        <w:pStyle w:val="Heading1"/>
        <w:spacing w:before="320" w:after="120"/>
      </w:pPr>
      <w:r>
        <w:rPr>
          <w:b/>
          <w:bCs/>
          <w:color w:val="1565C0"/>
          <w:sz w:val="28"/>
          <w:szCs w:val="28"/>
        </w:rPr>
        <w:t xml:space="preserve">5. Decisões Técnicas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Sem dependências externas — tudo em Java puro para máxima portabilidade do protótipo.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IDs auto-incrementais (contadorId estático) simulam chaves primárias de banco de dados.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Separação entre domínio (Cliente, Conta, Produto) e serviços (Repositório, Simulação) segue o padrão de camadas, facilitando crescimento do sistema.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instanceof usado pontualmente em ContaInvestimentoAutomatico apenas para checar carência de ProdutoRendaFixa — aceitável neste protótipo.</w:t>
      </w:r>
    </w:p>
    <w:p>
      <w:pPr>
        <w:spacing w:before="400" w:after="0"/>
      </w:pPr>
      <w:r>
        <w:rPr>
          <w:i/>
          <w:iCs/>
          <w:color w:val="999999"/>
          <w:sz w:val="18"/>
          <w:szCs w:val="18"/>
        </w:rPr>
        <w:t xml:space="preserve">Exercício 35 — IFSP Guarulhos / POO Prof. Giovani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2026-02-22T20:59:00.797Z</dcterms:created>
  <dcterms:modified xsi:type="dcterms:W3CDTF">2026-02-22T20:59:00.798Z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