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onsolas" w:cs="Consolas" w:eastAsia="Consolas" w:hAnsi="Consolas"/>
          <w:b/>
          <w:bCs/>
          <w:color w:val="0C6E8E"/>
          <w:sz w:val="16"/>
          <w:szCs w:val="16"/>
        </w:rPr>
        <w:t xml:space="preserve">HYDRO MIND  ·  ÁGUA ALERTA</w:t>
      </w:r>
    </w:p>
    <w:p>
      <w:pPr>
        <w:pBdr>
          <w:bottom w:val="single" w:color="0C6E8E" w:sz="6"/>
        </w:pBdr>
        <w:spacing w:after="100"/>
      </w:pPr>
      <w:r>
        <w:rPr>
          <w:rFonts w:ascii="Calibri" w:cs="Calibri" w:eastAsia="Calibri" w:hAnsi="Calibri"/>
          <w:b/>
          <w:bCs/>
          <w:color w:val="0A1E30"/>
          <w:sz w:val="40"/>
          <w:szCs w:val="40"/>
        </w:rPr>
        <w:t xml:space="preserve">Diagrama de Gantt do Projeto</w:t>
      </w:r>
    </w:p>
    <w:p>
      <w:pPr>
        <w:spacing w:after="200" w:before="160"/>
      </w:pPr>
      <w:r>
        <w:rPr>
          <w:rFonts w:ascii="Calibri" w:cs="Calibri" w:eastAsia="Calibri" w:hAnsi="Calibri"/>
          <w:color w:val="5A7285"/>
          <w:sz w:val="19"/>
          <w:szCs w:val="19"/>
        </w:rPr>
        <w:t xml:space="preserve">Cronograma das dez frentes da Estrutura Analítica do Projeto, com dependências entre atividades, marcos e caminho crítico. Horizonte de doze meses, de outubro de 2026 a setembro de 2027.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A1E30"/>
          <w:sz w:val="26"/>
          <w:szCs w:val="26"/>
        </w:rPr>
        <w:t xml:space="preserve">1.  Premissas de planejamento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1370"/>
      </w:tblGrid>
      <w:tr>
        <w:trPr>
          <w:tblHeader/>
        </w:trPr>
        <w:tc>
          <w:tcPr>
            <w:tcW w:type="dxa" w:w="320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EEF3F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A7285"/>
                <w:sz w:val="14"/>
                <w:szCs w:val="14"/>
              </w:rPr>
              <w:t xml:space="preserve">Item</w:t>
            </w:r>
          </w:p>
        </w:tc>
        <w:tc>
          <w:tcPr>
            <w:tcW w:type="dxa" w:w="1137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EEF3F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A7285"/>
                <w:sz w:val="14"/>
                <w:szCs w:val="14"/>
              </w:rPr>
              <w:t xml:space="preserve">Definição</w:t>
            </w:r>
          </w:p>
        </w:tc>
      </w:tr>
      <w:tr>
        <w:tc>
          <w:tcPr>
            <w:tcW w:type="dxa" w:w="320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A1E30"/>
                <w:sz w:val="16"/>
                <w:szCs w:val="16"/>
              </w:rPr>
              <w:t xml:space="preserve">Início do projeto</w:t>
            </w:r>
          </w:p>
        </w:tc>
        <w:tc>
          <w:tcPr>
            <w:tcW w:type="dxa" w:w="1137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A1E30"/>
                <w:sz w:val="16"/>
                <w:szCs w:val="16"/>
              </w:rPr>
              <w:t xml:space="preserve">Outubro de 2026, após aprovação do Termo de Abertura</w:t>
            </w:r>
          </w:p>
        </w:tc>
      </w:tr>
      <w:tr>
        <w:tc>
          <w:tcPr>
            <w:tcW w:type="dxa" w:w="320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A1E30"/>
                <w:sz w:val="16"/>
                <w:szCs w:val="16"/>
              </w:rPr>
              <w:t xml:space="preserve">Duração total</w:t>
            </w:r>
          </w:p>
        </w:tc>
        <w:tc>
          <w:tcPr>
            <w:tcW w:type="dxa" w:w="1137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A1E30"/>
                <w:sz w:val="16"/>
                <w:szCs w:val="16"/>
              </w:rPr>
              <w:t xml:space="preserve">12 meses, com encerramento em setembro de 2027</w:t>
            </w:r>
          </w:p>
        </w:tc>
      </w:tr>
      <w:tr>
        <w:tc>
          <w:tcPr>
            <w:tcW w:type="dxa" w:w="320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A1E30"/>
                <w:sz w:val="16"/>
                <w:szCs w:val="16"/>
              </w:rPr>
              <w:t xml:space="preserve">Equipe</w:t>
            </w:r>
          </w:p>
        </w:tc>
        <w:tc>
          <w:tcPr>
            <w:tcW w:type="dxa" w:w="1137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A1E30"/>
                <w:sz w:val="16"/>
                <w:szCs w:val="16"/>
              </w:rPr>
              <w:t xml:space="preserve">12 colaboradores: hardware, software, ciência de dados/IA e atendimento</w:t>
            </w:r>
          </w:p>
        </w:tc>
      </w:tr>
      <w:tr>
        <w:tc>
          <w:tcPr>
            <w:tcW w:type="dxa" w:w="320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A1E30"/>
                <w:sz w:val="16"/>
                <w:szCs w:val="16"/>
              </w:rPr>
              <w:t xml:space="preserve">Orçamento</w:t>
            </w:r>
          </w:p>
        </w:tc>
        <w:tc>
          <w:tcPr>
            <w:tcW w:type="dxa" w:w="1137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A1E30"/>
                <w:sz w:val="16"/>
                <w:szCs w:val="16"/>
              </w:rPr>
              <w:t xml:space="preserve">R$ 250 mil, via aporte de investidor-anjo</w:t>
            </w:r>
          </w:p>
        </w:tc>
      </w:tr>
      <w:tr>
        <w:tc>
          <w:tcPr>
            <w:tcW w:type="dxa" w:w="320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A1E30"/>
                <w:sz w:val="16"/>
                <w:szCs w:val="16"/>
              </w:rPr>
              <w:t xml:space="preserve">Sede</w:t>
            </w:r>
          </w:p>
        </w:tc>
        <w:tc>
          <w:tcPr>
            <w:tcW w:type="dxa" w:w="1137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A1E30"/>
                <w:sz w:val="16"/>
                <w:szCs w:val="16"/>
              </w:rPr>
              <w:t xml:space="preserve">Espaço compartilhado em Campinas / SP</w:t>
            </w:r>
          </w:p>
        </w:tc>
      </w:tr>
      <w:tr>
        <w:tc>
          <w:tcPr>
            <w:tcW w:type="dxa" w:w="320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A1E30"/>
                <w:sz w:val="16"/>
                <w:szCs w:val="16"/>
              </w:rPr>
              <w:t xml:space="preserve">Mercado piloto</w:t>
            </w:r>
          </w:p>
        </w:tc>
        <w:tc>
          <w:tcPr>
            <w:tcW w:type="dxa" w:w="1137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A1E30"/>
                <w:sz w:val="16"/>
                <w:szCs w:val="16"/>
              </w:rPr>
              <w:t xml:space="preserve">Condomínios de bairros centrais de Campinas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A1E30"/>
          <w:sz w:val="26"/>
          <w:szCs w:val="26"/>
        </w:rPr>
        <w:t xml:space="preserve">2.  Diagrama de Gantt</w:t>
      </w:r>
    </w:p>
    <w:p>
      <w:pPr>
        <w:spacing w:after="160"/>
      </w:pPr>
      <w:r>
        <w:rPr>
          <w:rFonts w:ascii="Calibri" w:cs="Calibri" w:eastAsia="Calibri" w:hAnsi="Calibri"/>
          <w:color w:val="5A7285"/>
          <w:sz w:val="17"/>
          <w:szCs w:val="17"/>
        </w:rPr>
        <w:t xml:space="preserve">Cada linha é uma atividade; abaixo do nome está indicada a atividade da qual ela depende. As barras em vermelho compõem o caminho crítico — atrasos nelas empurram a data final do projeto na mesma medida.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7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rPr>
          <w:tblHeader/>
        </w:trPr>
        <w:tc>
          <w:tcPr>
            <w:tcW w:type="dxa" w:w="437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EEF3F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A7285"/>
                <w:sz w:val="14"/>
                <w:szCs w:val="14"/>
              </w:rPr>
              <w:t xml:space="preserve">ATIVIDADE</w:t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EEF3F6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5A7285"/>
                <w:sz w:val="13"/>
                <w:szCs w:val="13"/>
              </w:rPr>
              <w:t xml:space="preserve">out/26</w:t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EEF3F6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5A7285"/>
                <w:sz w:val="13"/>
                <w:szCs w:val="13"/>
              </w:rPr>
              <w:t xml:space="preserve">nov</w:t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EEF3F6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5A7285"/>
                <w:sz w:val="13"/>
                <w:szCs w:val="13"/>
              </w:rPr>
              <w:t xml:space="preserve">dez</w:t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EEF3F6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5A7285"/>
                <w:sz w:val="13"/>
                <w:szCs w:val="13"/>
              </w:rPr>
              <w:t xml:space="preserve">jan/27</w:t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EEF3F6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5A7285"/>
                <w:sz w:val="13"/>
                <w:szCs w:val="13"/>
              </w:rPr>
              <w:t xml:space="preserve">fev</w:t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EEF3F6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5A7285"/>
                <w:sz w:val="13"/>
                <w:szCs w:val="13"/>
              </w:rPr>
              <w:t xml:space="preserve">mar</w:t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EEF3F6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5A7285"/>
                <w:sz w:val="13"/>
                <w:szCs w:val="13"/>
              </w:rPr>
              <w:t xml:space="preserve">abr</w:t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EEF3F6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5A7285"/>
                <w:sz w:val="13"/>
                <w:szCs w:val="13"/>
              </w:rPr>
              <w:t xml:space="preserve">mai</w:t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EEF3F6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5A7285"/>
                <w:sz w:val="13"/>
                <w:szCs w:val="13"/>
              </w:rPr>
              <w:t xml:space="preserve">jun</w:t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EEF3F6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5A7285"/>
                <w:sz w:val="13"/>
                <w:szCs w:val="13"/>
              </w:rPr>
              <w:t xml:space="preserve">jul</w:t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EEF3F6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5A7285"/>
                <w:sz w:val="13"/>
                <w:szCs w:val="13"/>
              </w:rPr>
              <w:t xml:space="preserve">ago</w:t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EEF3F6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5A7285"/>
                <w:sz w:val="13"/>
                <w:szCs w:val="13"/>
              </w:rPr>
              <w:t xml:space="preserve">set</w:t>
            </w:r>
          </w:p>
        </w:tc>
      </w:tr>
      <w:tr>
        <w:tc>
          <w:tcPr>
            <w:tcW w:type="dxa" w:w="437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EEF3F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1E30"/>
                <w:sz w:val="17"/>
                <w:szCs w:val="17"/>
              </w:rPr>
              <w:t xml:space="preserve">1.1  Planejamento do Projeto</w:t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C4443A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8"/>
                <w:szCs w:val="8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C4443A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8"/>
                <w:szCs w:val="8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C4443A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8"/>
                <w:szCs w:val="8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8"/>
                <w:szCs w:val="8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8"/>
                <w:szCs w:val="8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8"/>
                <w:szCs w:val="8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8"/>
                <w:szCs w:val="8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8"/>
                <w:szCs w:val="8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8"/>
                <w:szCs w:val="8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8"/>
                <w:szCs w:val="8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8"/>
                <w:szCs w:val="8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437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6"/>
                <w:szCs w:val="16"/>
              </w:rPr>
              <w:t xml:space="preserve">Termo de abertura e escopo</w:t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F5D6D3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37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6"/>
                <w:szCs w:val="16"/>
              </w:rPr>
              <w:t xml:space="preserve">EAP, cronograma e marcos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i/>
                <w:iCs/>
                <w:color w:val="5A7285"/>
                <w:sz w:val="12"/>
                <w:szCs w:val="12"/>
              </w:rPr>
              <w:t xml:space="preserve">depende de: Termo de abertura</w:t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F5D6D3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F5D6D3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37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6"/>
                <w:szCs w:val="16"/>
              </w:rPr>
              <w:t xml:space="preserve">Riscos, KPIs e orçamento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i/>
                <w:iCs/>
                <w:color w:val="5A7285"/>
                <w:sz w:val="12"/>
                <w:szCs w:val="12"/>
              </w:rPr>
              <w:t xml:space="preserve">depende de: EAP</w:t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D6EAF2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D6EAF2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37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EEF3F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1E30"/>
                <w:sz w:val="17"/>
                <w:szCs w:val="17"/>
              </w:rPr>
              <w:t xml:space="preserve">1.2  Captação e Parcerias</w:t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8"/>
                <w:szCs w:val="8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C4443A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8"/>
                <w:szCs w:val="8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C4443A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8"/>
                <w:szCs w:val="8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C4443A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8"/>
                <w:szCs w:val="8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C4443A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8"/>
                <w:szCs w:val="8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8"/>
                <w:szCs w:val="8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8"/>
                <w:szCs w:val="8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8"/>
                <w:szCs w:val="8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8"/>
                <w:szCs w:val="8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8"/>
                <w:szCs w:val="8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8"/>
                <w:szCs w:val="8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437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6"/>
                <w:szCs w:val="16"/>
              </w:rPr>
              <w:t xml:space="preserve">Pitch deck e projeções financeiras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i/>
                <w:iCs/>
                <w:color w:val="5A7285"/>
                <w:sz w:val="12"/>
                <w:szCs w:val="12"/>
              </w:rPr>
              <w:t xml:space="preserve">depende de: Orçamento</w:t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F5D6D3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F5D6D3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37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6"/>
                <w:szCs w:val="16"/>
              </w:rPr>
              <w:t xml:space="preserve">Prospecção de investidores-anjo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i/>
                <w:iCs/>
                <w:color w:val="5A7285"/>
                <w:sz w:val="12"/>
                <w:szCs w:val="12"/>
              </w:rPr>
              <w:t xml:space="preserve">depende de: Pitch deck</w:t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F5D6D3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F5D6D3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F5D6D3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37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6"/>
                <w:szCs w:val="16"/>
              </w:rPr>
              <w:t xml:space="preserve">Fechamento e formalização do aporte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87309"/>
                <w:sz w:val="13"/>
                <w:szCs w:val="13"/>
              </w:rPr>
              <w:t xml:space="preserve">◆ marco: Aporte R$ 250 mil</w:t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F5D6D3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7309"/>
                <w:sz w:val="16"/>
                <w:szCs w:val="16"/>
              </w:rPr>
              <w:t xml:space="preserve">◆</w:t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37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EEF3F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1E30"/>
                <w:sz w:val="17"/>
                <w:szCs w:val="17"/>
              </w:rPr>
              <w:t xml:space="preserve">1.4  Hardware e Sensores IoT</w:t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8"/>
                <w:szCs w:val="8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8"/>
                <w:szCs w:val="8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C4443A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8"/>
                <w:szCs w:val="8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C4443A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8"/>
                <w:szCs w:val="8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C4443A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8"/>
                <w:szCs w:val="8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C4443A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8"/>
                <w:szCs w:val="8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C4443A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8"/>
                <w:szCs w:val="8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C4443A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8"/>
                <w:szCs w:val="8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8"/>
                <w:szCs w:val="8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8"/>
                <w:szCs w:val="8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8"/>
                <w:szCs w:val="8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437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6"/>
                <w:szCs w:val="16"/>
              </w:rPr>
              <w:t xml:space="preserve">Especificação técnica do sensor</w:t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D6EAF2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37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6"/>
                <w:szCs w:val="16"/>
              </w:rPr>
              <w:t xml:space="preserve">Cotação, contrato e garantia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i/>
                <w:iCs/>
                <w:color w:val="5A7285"/>
                <w:sz w:val="12"/>
                <w:szCs w:val="12"/>
              </w:rPr>
              <w:t xml:space="preserve">depende de: Aporte</w:t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F5D6D3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37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6"/>
                <w:szCs w:val="16"/>
              </w:rPr>
              <w:t xml:space="preserve">Protótipo em bancada e testes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i/>
                <w:iCs/>
                <w:color w:val="5A7285"/>
                <w:sz w:val="12"/>
                <w:szCs w:val="12"/>
              </w:rPr>
              <w:t xml:space="preserve">depende de: Fornecedores</w:t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F5D6D3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F5D6D3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37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6"/>
                <w:szCs w:val="16"/>
              </w:rPr>
              <w:t xml:space="preserve">Lote piloto de produção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i/>
                <w:iCs/>
                <w:color w:val="5A7285"/>
                <w:sz w:val="12"/>
                <w:szCs w:val="12"/>
              </w:rPr>
              <w:t xml:space="preserve">depende de: Protótipo</w:t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F5D6D3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F5D6D3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37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EEF3F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1E30"/>
                <w:sz w:val="17"/>
                <w:szCs w:val="17"/>
              </w:rPr>
              <w:t xml:space="preserve">1.5  Software e Aplicativo</w:t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8"/>
                <w:szCs w:val="8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8"/>
                <w:szCs w:val="8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0C6E8E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8"/>
                <w:szCs w:val="8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0C6E8E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8"/>
                <w:szCs w:val="8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0C6E8E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8"/>
                <w:szCs w:val="8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0C6E8E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8"/>
                <w:szCs w:val="8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0C6E8E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8"/>
                <w:szCs w:val="8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0C6E8E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8"/>
                <w:szCs w:val="8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8"/>
                <w:szCs w:val="8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8"/>
                <w:szCs w:val="8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8"/>
                <w:szCs w:val="8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437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6"/>
                <w:szCs w:val="16"/>
              </w:rPr>
              <w:t xml:space="preserve">UX, requisitos e protótipo de telas</w:t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D6EAF2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D6EAF2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37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6"/>
                <w:szCs w:val="16"/>
              </w:rPr>
              <w:t xml:space="preserve">Back-end, APIs e banco de dados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i/>
                <w:iCs/>
                <w:color w:val="5A7285"/>
                <w:sz w:val="12"/>
                <w:szCs w:val="12"/>
              </w:rPr>
              <w:t xml:space="preserve">depende de: Requisitos</w:t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D6EAF2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D6EAF2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D6EAF2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37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6"/>
                <w:szCs w:val="16"/>
              </w:rPr>
              <w:t xml:space="preserve">Aplicativo móvel e dashboard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i/>
                <w:iCs/>
                <w:color w:val="5A7285"/>
                <w:sz w:val="12"/>
                <w:szCs w:val="12"/>
              </w:rPr>
              <w:t xml:space="preserve">depende de: Back-end</w:t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D6EAF2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D6EAF2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D6EAF2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37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6"/>
                <w:szCs w:val="16"/>
              </w:rPr>
              <w:t xml:space="preserve">Autenticação e painel de controle</w:t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D6EAF2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D6EAF2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37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EEF3F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1E30"/>
                <w:sz w:val="17"/>
                <w:szCs w:val="17"/>
              </w:rPr>
              <w:t xml:space="preserve">1.6  IA, Dados e Analytics</w:t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8"/>
                <w:szCs w:val="8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8"/>
                <w:szCs w:val="8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8"/>
                <w:szCs w:val="8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8"/>
                <w:szCs w:val="8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0C6E8E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8"/>
                <w:szCs w:val="8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0C6E8E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8"/>
                <w:szCs w:val="8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0C6E8E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8"/>
                <w:szCs w:val="8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0C6E8E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8"/>
                <w:szCs w:val="8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0C6E8E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8"/>
                <w:szCs w:val="8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8"/>
                <w:szCs w:val="8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8"/>
                <w:szCs w:val="8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437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6"/>
                <w:szCs w:val="16"/>
              </w:rPr>
              <w:t xml:space="preserve">Coleta e ingestão de dados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i/>
                <w:iCs/>
                <w:color w:val="5A7285"/>
                <w:sz w:val="12"/>
                <w:szCs w:val="12"/>
              </w:rPr>
              <w:t xml:space="preserve">depende de: Back-end</w:t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D6EAF2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D6EAF2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37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6"/>
                <w:szCs w:val="16"/>
              </w:rPr>
              <w:t xml:space="preserve">Detecção de anomalias e alertas</w:t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D6EAF2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D6EAF2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D6EAF2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37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6"/>
                <w:szCs w:val="16"/>
              </w:rPr>
              <w:t xml:space="preserve">Previsão de consumo e de conta</w:t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D6EAF2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D6EAF2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37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6"/>
                <w:szCs w:val="16"/>
              </w:rPr>
              <w:t xml:space="preserve">Localização por assinatura de vazão</w:t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D6EAF2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D6EAF2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37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EEF3F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1E30"/>
                <w:sz w:val="17"/>
                <w:szCs w:val="17"/>
              </w:rPr>
              <w:t xml:space="preserve">1.7  Integração IoT</w:t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8"/>
                <w:szCs w:val="8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8"/>
                <w:szCs w:val="8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8"/>
                <w:szCs w:val="8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8"/>
                <w:szCs w:val="8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8"/>
                <w:szCs w:val="8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C4443A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8"/>
                <w:szCs w:val="8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C4443A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8"/>
                <w:szCs w:val="8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C4443A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8"/>
                <w:szCs w:val="8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C4443A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8"/>
                <w:szCs w:val="8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8"/>
                <w:szCs w:val="8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8"/>
                <w:szCs w:val="8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437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6"/>
                <w:szCs w:val="16"/>
              </w:rPr>
              <w:t xml:space="preserve">Comunicação sensor ↔ aplicativo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i/>
                <w:iCs/>
                <w:color w:val="5A7285"/>
                <w:sz w:val="12"/>
                <w:szCs w:val="12"/>
              </w:rPr>
              <w:t xml:space="preserve">depende de: Protótipo, back-end</w:t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F5D6D3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F5D6D3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37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6"/>
                <w:szCs w:val="16"/>
              </w:rPr>
              <w:t xml:space="preserve">Processamento e fluxo contínuo</w:t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F5D6D3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F5D6D3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37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6"/>
                <w:szCs w:val="16"/>
              </w:rPr>
              <w:t xml:space="preserve">Testes de integração ponta a ponta</w:t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F5D6D3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F5D6D3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37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EEF3F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1E30"/>
                <w:sz w:val="17"/>
                <w:szCs w:val="17"/>
              </w:rPr>
              <w:t xml:space="preserve">1.3  Validação do MVP</w:t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8"/>
                <w:szCs w:val="8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8"/>
                <w:szCs w:val="8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8"/>
                <w:szCs w:val="8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8"/>
                <w:szCs w:val="8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8"/>
                <w:szCs w:val="8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8"/>
                <w:szCs w:val="8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8"/>
                <w:szCs w:val="8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C4443A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8"/>
                <w:szCs w:val="8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C4443A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8"/>
                <w:szCs w:val="8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C4443A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8"/>
                <w:szCs w:val="8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8"/>
                <w:szCs w:val="8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437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6"/>
                <w:szCs w:val="16"/>
              </w:rPr>
              <w:t xml:space="preserve">Instalação piloto em condomínio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i/>
                <w:iCs/>
                <w:color w:val="5A7285"/>
                <w:sz w:val="12"/>
                <w:szCs w:val="12"/>
              </w:rPr>
              <w:t xml:space="preserve">depende de: Lote piloto, integração</w:t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F5D6D3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F5D6D3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37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6"/>
                <w:szCs w:val="16"/>
              </w:rPr>
              <w:t xml:space="preserve">Coleta de feedback e métricas de uso</w:t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F5D6D3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37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6"/>
                <w:szCs w:val="16"/>
              </w:rPr>
              <w:t xml:space="preserve">Ajustes finos em sensor e aplicativo</w:t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F5D6D3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F5D6D3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37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6"/>
                <w:szCs w:val="16"/>
              </w:rPr>
              <w:t xml:space="preserve">Homologação do MVP para o mercado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87309"/>
                <w:sz w:val="13"/>
                <w:szCs w:val="13"/>
              </w:rPr>
              <w:t xml:space="preserve">◆ marco: MVP homologado</w:t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F5D6D3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7309"/>
                <w:sz w:val="16"/>
                <w:szCs w:val="16"/>
              </w:rPr>
              <w:t xml:space="preserve">◆</w:t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37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EEF3F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1E30"/>
                <w:sz w:val="17"/>
                <w:szCs w:val="17"/>
              </w:rPr>
              <w:t xml:space="preserve">1.8  Segurança e LGPD</w:t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8"/>
                <w:szCs w:val="8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8"/>
                <w:szCs w:val="8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8"/>
                <w:szCs w:val="8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8"/>
                <w:szCs w:val="8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8"/>
                <w:szCs w:val="8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8"/>
                <w:szCs w:val="8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0C6E8E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8"/>
                <w:szCs w:val="8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0C6E8E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8"/>
                <w:szCs w:val="8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0C6E8E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8"/>
                <w:szCs w:val="8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0C6E8E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8"/>
                <w:szCs w:val="8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8"/>
                <w:szCs w:val="8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437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6"/>
                <w:szCs w:val="16"/>
              </w:rPr>
              <w:t xml:space="preserve">Criptografia e proteção na nuvem</w:t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D6EAF2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D6EAF2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37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6"/>
                <w:szCs w:val="16"/>
              </w:rPr>
              <w:t xml:space="preserve">Adequação jurídica e termos de aceite</w:t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D6EAF2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D6EAF2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37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6"/>
                <w:szCs w:val="16"/>
              </w:rPr>
              <w:t xml:space="preserve">Confiabilidade e tempo de resposta</w:t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D6EAF2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D6EAF2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37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6"/>
                <w:szCs w:val="16"/>
              </w:rPr>
              <w:t xml:space="preserve">Plano de contingência operacional</w:t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D6EAF2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37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EEF3F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1E30"/>
                <w:sz w:val="17"/>
                <w:szCs w:val="17"/>
              </w:rPr>
              <w:t xml:space="preserve">1.9  Marketing e Lançamento</w:t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8"/>
                <w:szCs w:val="8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8"/>
                <w:szCs w:val="8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8"/>
                <w:szCs w:val="8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8"/>
                <w:szCs w:val="8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8"/>
                <w:szCs w:val="8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8"/>
                <w:szCs w:val="8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8"/>
                <w:szCs w:val="8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8"/>
                <w:szCs w:val="8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C4443A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8"/>
                <w:szCs w:val="8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C4443A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8"/>
                <w:szCs w:val="8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C4443A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8"/>
                <w:szCs w:val="8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C4443A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437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6"/>
                <w:szCs w:val="16"/>
              </w:rPr>
              <w:t xml:space="preserve">Divulgação em redes e WhatsApp</w:t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D6EAF2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D6EAF2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37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6"/>
                <w:szCs w:val="16"/>
              </w:rPr>
              <w:t xml:space="preserve">Networking com síndicos e administradoras</w:t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D6EAF2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D6EAF2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D6EAF2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37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6"/>
                <w:szCs w:val="16"/>
              </w:rPr>
              <w:t xml:space="preserve">Lançamento comercial e primeiros clientes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i/>
                <w:iCs/>
                <w:color w:val="5A7285"/>
                <w:sz w:val="12"/>
                <w:szCs w:val="12"/>
              </w:rPr>
              <w:t xml:space="preserve">depende de: MVP homologado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87309"/>
                <w:sz w:val="13"/>
                <w:szCs w:val="13"/>
              </w:rPr>
              <w:t xml:space="preserve">◆ marco: Lançamento</w:t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F5D6D3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7309"/>
                <w:sz w:val="16"/>
                <w:szCs w:val="16"/>
              </w:rPr>
              <w:t xml:space="preserve">◆</w:t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37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6"/>
                <w:szCs w:val="16"/>
              </w:rPr>
              <w:t xml:space="preserve">Pós-venda, suporte e expansão</w:t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D6EAF2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D6EAF2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37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EEF3F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1E30"/>
                <w:sz w:val="17"/>
                <w:szCs w:val="17"/>
              </w:rPr>
              <w:t xml:space="preserve">1.10  Encerramento e Entregas</w:t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8"/>
                <w:szCs w:val="8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8"/>
                <w:szCs w:val="8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8"/>
                <w:szCs w:val="8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8"/>
                <w:szCs w:val="8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8"/>
                <w:szCs w:val="8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8"/>
                <w:szCs w:val="8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8"/>
                <w:szCs w:val="8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8"/>
                <w:szCs w:val="8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8"/>
                <w:szCs w:val="8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8"/>
                <w:szCs w:val="8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C4443A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8"/>
                <w:szCs w:val="8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C4443A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437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6"/>
                <w:szCs w:val="16"/>
              </w:rPr>
              <w:t xml:space="preserve">Avaliação técnica, financeira e de impacto</w:t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F5D6D3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F5D6D3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37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6"/>
                <w:szCs w:val="16"/>
              </w:rPr>
              <w:t xml:space="preserve">Documentação de lições aprendidas</w:t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D6EAF2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37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6"/>
                <w:szCs w:val="16"/>
              </w:rPr>
              <w:t xml:space="preserve">Prestação de contas e encerramento</w:t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  <w:tc>
          <w:tcPr>
            <w:tcW w:type="dxa" w:w="85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F5D6D3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2"/>
                <w:szCs w:val="12"/>
              </w:rPr>
              <w:t xml:space="preserve"/>
            </w:r>
          </w:p>
        </w:tc>
      </w:tr>
    </w:tbl>
    <w:p>
      <w:pPr>
        <w:spacing w:after="160"/>
      </w:pPr>
    </w:p>
    <w:tbl>
      <w:tblPr>
        <w:tblW w:type="dxa" w:w="11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500"/>
        <w:gridCol w:w="3600"/>
        <w:gridCol w:w="500"/>
        <w:gridCol w:w="3200"/>
      </w:tblGrid>
      <w:tr>
        <w:tc>
          <w:tcPr>
            <w:tcW w:type="dxa" w:w="50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D6EA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6"/>
                <w:szCs w:val="16"/>
              </w:rPr>
              <w:t xml:space="preserve"/>
            </w:r>
          </w:p>
        </w:tc>
        <w:tc>
          <w:tcPr>
            <w:tcW w:type="dxa" w:w="320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5"/>
                <w:szCs w:val="15"/>
              </w:rPr>
              <w:t xml:space="preserve">Atividade com folga</w:t>
            </w:r>
          </w:p>
        </w:tc>
        <w:tc>
          <w:tcPr>
            <w:tcW w:type="dxa" w:w="50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F5D6D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6"/>
                <w:szCs w:val="16"/>
              </w:rPr>
              <w:t xml:space="preserve"/>
            </w:r>
          </w:p>
        </w:tc>
        <w:tc>
          <w:tcPr>
            <w:tcW w:type="dxa" w:w="360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5"/>
                <w:szCs w:val="15"/>
              </w:rPr>
              <w:t xml:space="preserve">Atividade no caminho crítico</w:t>
            </w:r>
          </w:p>
        </w:tc>
        <w:tc>
          <w:tcPr>
            <w:tcW w:type="dxa" w:w="50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7309"/>
                <w:sz w:val="16"/>
                <w:szCs w:val="16"/>
              </w:rPr>
              <w:t xml:space="preserve">◆</w:t>
            </w:r>
          </w:p>
        </w:tc>
        <w:tc>
          <w:tcPr>
            <w:tcW w:type="dxa" w:w="320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A1E30"/>
                <w:sz w:val="15"/>
                <w:szCs w:val="15"/>
              </w:rPr>
              <w:t xml:space="preserve">Marco do projeto</w:t>
            </w:r>
          </w:p>
        </w:tc>
      </w:tr>
    </w:tbl>
    <w:p>
      <w:pPr>
        <w:spacing w:after="200"/>
      </w:pPr>
    </w:p>
    <w:p>
      <w:pPr>
        <w:pageBreakBefore/>
      </w:pPr>
      <w:r>
        <w:br/>
        <w:t xml:space="preserv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A1E30"/>
          <w:sz w:val="26"/>
          <w:szCs w:val="26"/>
        </w:rPr>
        <w:t xml:space="preserve">3.  Marcos do projeto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800"/>
        <w:gridCol w:w="8570"/>
      </w:tblGrid>
      <w:tr>
        <w:trPr>
          <w:tblHeader/>
        </w:trPr>
        <w:tc>
          <w:tcPr>
            <w:tcW w:type="dxa" w:w="420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EEF3F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A7285"/>
                <w:sz w:val="14"/>
                <w:szCs w:val="14"/>
              </w:rPr>
              <w:t xml:space="preserve">Marco</w:t>
            </w:r>
          </w:p>
        </w:tc>
        <w:tc>
          <w:tcPr>
            <w:tcW w:type="dxa" w:w="180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EEF3F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A7285"/>
                <w:sz w:val="14"/>
                <w:szCs w:val="14"/>
              </w:rPr>
              <w:t xml:space="preserve">Previsão</w:t>
            </w:r>
          </w:p>
        </w:tc>
        <w:tc>
          <w:tcPr>
            <w:tcW w:type="dxa" w:w="857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EEF3F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A7285"/>
                <w:sz w:val="14"/>
                <w:szCs w:val="14"/>
              </w:rPr>
              <w:t xml:space="preserve">Significado</w:t>
            </w:r>
          </w:p>
        </w:tc>
      </w:tr>
      <w:tr>
        <w:tc>
          <w:tcPr>
            <w:tcW w:type="dxa" w:w="420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1E30"/>
                <w:sz w:val="16"/>
                <w:szCs w:val="16"/>
              </w:rPr>
              <w:t xml:space="preserve">Aporte de R$ 250 mil captado</w:t>
            </w:r>
          </w:p>
        </w:tc>
        <w:tc>
          <w:tcPr>
            <w:tcW w:type="dxa" w:w="180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A1E30"/>
                <w:sz w:val="16"/>
                <w:szCs w:val="16"/>
              </w:rPr>
              <w:t xml:space="preserve">fev/2027</w:t>
            </w:r>
          </w:p>
        </w:tc>
        <w:tc>
          <w:tcPr>
            <w:tcW w:type="dxa" w:w="857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A1E30"/>
                <w:sz w:val="16"/>
                <w:szCs w:val="16"/>
              </w:rPr>
              <w:t xml:space="preserve">Libera a encomenda de hardware; até aqui nada pode ser comprado</w:t>
            </w:r>
          </w:p>
        </w:tc>
      </w:tr>
      <w:tr>
        <w:tc>
          <w:tcPr>
            <w:tcW w:type="dxa" w:w="420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1E30"/>
                <w:sz w:val="16"/>
                <w:szCs w:val="16"/>
              </w:rPr>
              <w:t xml:space="preserve">MVP homologado</w:t>
            </w:r>
          </w:p>
        </w:tc>
        <w:tc>
          <w:tcPr>
            <w:tcW w:type="dxa" w:w="180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A1E30"/>
                <w:sz w:val="16"/>
                <w:szCs w:val="16"/>
              </w:rPr>
              <w:t xml:space="preserve">jul/2027</w:t>
            </w:r>
          </w:p>
        </w:tc>
        <w:tc>
          <w:tcPr>
            <w:tcW w:type="dxa" w:w="857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A1E30"/>
                <w:sz w:val="16"/>
                <w:szCs w:val="16"/>
              </w:rPr>
              <w:t xml:space="preserve">Produto validado em campo e liberado para comercialização</w:t>
            </w:r>
          </w:p>
        </w:tc>
      </w:tr>
      <w:tr>
        <w:tc>
          <w:tcPr>
            <w:tcW w:type="dxa" w:w="420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1E30"/>
                <w:sz w:val="16"/>
                <w:szCs w:val="16"/>
              </w:rPr>
              <w:t xml:space="preserve">Lançamento comercial</w:t>
            </w:r>
          </w:p>
        </w:tc>
        <w:tc>
          <w:tcPr>
            <w:tcW w:type="dxa" w:w="180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A1E30"/>
                <w:sz w:val="16"/>
                <w:szCs w:val="16"/>
              </w:rPr>
              <w:t xml:space="preserve">ago/2027</w:t>
            </w:r>
          </w:p>
        </w:tc>
        <w:tc>
          <w:tcPr>
            <w:tcW w:type="dxa" w:w="857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A1E30"/>
                <w:sz w:val="16"/>
                <w:szCs w:val="16"/>
              </w:rPr>
              <w:t xml:space="preserve">Início da aquisição de clientes e da receita recorrente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A1E30"/>
          <w:sz w:val="26"/>
          <w:szCs w:val="26"/>
        </w:rPr>
        <w:t xml:space="preserve">4.  Caminho crítico</w:t>
      </w:r>
    </w:p>
    <w:p>
      <w:pPr>
        <w:spacing w:after="140"/>
      </w:pPr>
      <w:r>
        <w:rPr>
          <w:rFonts w:ascii="Consolas" w:cs="Consolas" w:eastAsia="Consolas" w:hAnsi="Consolas"/>
          <w:b/>
          <w:bCs/>
          <w:color w:val="C4443A"/>
          <w:sz w:val="17"/>
          <w:szCs w:val="17"/>
        </w:rPr>
        <w:t xml:space="preserve">1.1 Planejamento  →  1.2 Captação do aporte  →  1.4 Hardware e lote piloto  →  1.7 Integração IoT  →  1.3 Validação do MVP  →  1.9 Lançamento comercial  →  1.10 Encerramento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A1E30"/>
          <w:sz w:val="19"/>
          <w:szCs w:val="19"/>
        </w:rPr>
        <w:t xml:space="preserve">O gargalo é a captação. </w:t>
      </w:r>
      <w:r>
        <w:rPr>
          <w:rFonts w:ascii="Calibri" w:cs="Calibri" w:eastAsia="Calibri" w:hAnsi="Calibri"/>
          <w:color w:val="0A1E30"/>
          <w:sz w:val="19"/>
          <w:szCs w:val="19"/>
        </w:rPr>
        <w:t xml:space="preserve">Nenhum componente de hardware pode ser encomendado antes de o aporte entrar, e sem sensor físico não há integração, nem piloto, nem lançamento. Por isso a prospecção de investidores começa em dezembro, ainda durante o planejamento — quatro meses de antecedência para a única atividade crítica que não depende de mais ninguém para começar.</w:t>
      </w:r>
    </w:p>
    <w:p>
      <w:pPr>
        <w:spacing w:after="120"/>
      </w:pPr>
      <w:r>
        <w:rPr>
          <w:rFonts w:ascii="Calibri" w:cs="Calibri" w:eastAsia="Calibri" w:hAnsi="Calibri"/>
          <w:color w:val="0A1E30"/>
          <w:sz w:val="19"/>
          <w:szCs w:val="19"/>
        </w:rPr>
        <w:t xml:space="preserve">As frentes de software, IA e segurança/LGPD correm em paralelo justamente por não dependerem do aporte, e chegam prontas quando o sensor chega. É essa sobreposição que mantém o projeto em doze meses.</w:t>
      </w:r>
    </w:p>
    <w:p>
      <w:pPr>
        <w:spacing w:after="200"/>
      </w:pP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A1E30"/>
          <w:sz w:val="26"/>
          <w:szCs w:val="26"/>
        </w:rPr>
        <w:t xml:space="preserve">5.  Entregas acadêmicas — setembro de 2026</w:t>
      </w:r>
    </w:p>
    <w:p>
      <w:pPr>
        <w:spacing w:after="160"/>
      </w:pPr>
      <w:r>
        <w:rPr>
          <w:rFonts w:ascii="Calibri" w:cs="Calibri" w:eastAsia="Calibri" w:hAnsi="Calibri"/>
          <w:color w:val="5A7285"/>
          <w:sz w:val="17"/>
          <w:szCs w:val="17"/>
        </w:rPr>
        <w:t xml:space="preserve">Cronograma de curto prazo da disciplina, anterior ao início do projeto modelado acima.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70"/>
        <w:gridCol w:w="3000"/>
      </w:tblGrid>
      <w:tr>
        <w:trPr>
          <w:tblHeader/>
        </w:trPr>
        <w:tc>
          <w:tcPr>
            <w:tcW w:type="dxa" w:w="240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EEF3F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A7285"/>
                <w:sz w:val="14"/>
                <w:szCs w:val="14"/>
              </w:rPr>
              <w:t xml:space="preserve">Data</w:t>
            </w:r>
          </w:p>
        </w:tc>
        <w:tc>
          <w:tcPr>
            <w:tcW w:type="dxa" w:w="917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EEF3F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A7285"/>
                <w:sz w:val="14"/>
                <w:szCs w:val="14"/>
              </w:rPr>
              <w:t xml:space="preserve">Entrega</w:t>
            </w:r>
          </w:p>
        </w:tc>
        <w:tc>
          <w:tcPr>
            <w:tcW w:type="dxa" w:w="300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shd w:fill="EEF3F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A7285"/>
                <w:sz w:val="14"/>
                <w:szCs w:val="14"/>
              </w:rPr>
              <w:t xml:space="preserve">Situação</w:t>
            </w:r>
          </w:p>
        </w:tc>
      </w:tr>
      <w:tr>
        <w:tc>
          <w:tcPr>
            <w:tcW w:type="dxa" w:w="240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1E30"/>
                <w:sz w:val="16"/>
                <w:szCs w:val="16"/>
              </w:rPr>
              <w:t xml:space="preserve">até 08/09/2026</w:t>
            </w:r>
          </w:p>
        </w:tc>
        <w:tc>
          <w:tcPr>
            <w:tcW w:type="dxa" w:w="917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A1E30"/>
                <w:sz w:val="16"/>
                <w:szCs w:val="16"/>
              </w:rPr>
              <w:t xml:space="preserve">Termo de abertura, EAP, stakeholders e análise de mercado</w:t>
            </w:r>
          </w:p>
        </w:tc>
        <w:tc>
          <w:tcPr>
            <w:tcW w:type="dxa" w:w="300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A1E30"/>
                <w:sz w:val="16"/>
                <w:szCs w:val="16"/>
              </w:rPr>
              <w:t xml:space="preserve">Concluído</w:t>
            </w:r>
          </w:p>
        </w:tc>
      </w:tr>
      <w:tr>
        <w:tc>
          <w:tcPr>
            <w:tcW w:type="dxa" w:w="240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1E30"/>
                <w:sz w:val="16"/>
                <w:szCs w:val="16"/>
              </w:rPr>
              <w:t xml:space="preserve">15/09/2026</w:t>
            </w:r>
          </w:p>
        </w:tc>
        <w:tc>
          <w:tcPr>
            <w:tcW w:type="dxa" w:w="917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A1E30"/>
                <w:sz w:val="16"/>
                <w:szCs w:val="16"/>
              </w:rPr>
              <w:t xml:space="preserve">1.6 — Diagrama de Gantt</w:t>
            </w:r>
          </w:p>
        </w:tc>
        <w:tc>
          <w:tcPr>
            <w:tcW w:type="dxa" w:w="300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A1E30"/>
                <w:sz w:val="16"/>
                <w:szCs w:val="16"/>
              </w:rPr>
              <w:t xml:space="preserve">Este documento</w:t>
            </w:r>
          </w:p>
        </w:tc>
      </w:tr>
      <w:tr>
        <w:tc>
          <w:tcPr>
            <w:tcW w:type="dxa" w:w="240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1E30"/>
                <w:sz w:val="16"/>
                <w:szCs w:val="16"/>
              </w:rPr>
              <w:t xml:space="preserve">17/09/2026</w:t>
            </w:r>
          </w:p>
        </w:tc>
        <w:tc>
          <w:tcPr>
            <w:tcW w:type="dxa" w:w="917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A1E30"/>
                <w:sz w:val="16"/>
                <w:szCs w:val="16"/>
              </w:rPr>
              <w:t xml:space="preserve">1.7 — Levantamento de custos</w:t>
            </w:r>
          </w:p>
        </w:tc>
        <w:tc>
          <w:tcPr>
            <w:tcW w:type="dxa" w:w="300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A1E30"/>
                <w:sz w:val="16"/>
                <w:szCs w:val="16"/>
              </w:rPr>
              <w:t xml:space="preserve">A fazer</w:t>
            </w:r>
          </w:p>
        </w:tc>
      </w:tr>
      <w:tr>
        <w:tc>
          <w:tcPr>
            <w:tcW w:type="dxa" w:w="240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1E30"/>
                <w:sz w:val="16"/>
                <w:szCs w:val="16"/>
              </w:rPr>
              <w:t xml:space="preserve">21/09/2026</w:t>
            </w:r>
          </w:p>
        </w:tc>
        <w:tc>
          <w:tcPr>
            <w:tcW w:type="dxa" w:w="917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A1E30"/>
                <w:sz w:val="16"/>
                <w:szCs w:val="16"/>
              </w:rPr>
              <w:t xml:space="preserve">1.8 — Protótipo</w:t>
            </w:r>
          </w:p>
        </w:tc>
        <w:tc>
          <w:tcPr>
            <w:tcW w:type="dxa" w:w="300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A1E30"/>
                <w:sz w:val="16"/>
                <w:szCs w:val="16"/>
              </w:rPr>
              <w:t xml:space="preserve">Em construção</w:t>
            </w:r>
          </w:p>
        </w:tc>
      </w:tr>
      <w:tr>
        <w:tc>
          <w:tcPr>
            <w:tcW w:type="dxa" w:w="240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1E30"/>
                <w:sz w:val="16"/>
                <w:szCs w:val="16"/>
              </w:rPr>
              <w:t xml:space="preserve">22/09/2026</w:t>
            </w:r>
          </w:p>
        </w:tc>
        <w:tc>
          <w:tcPr>
            <w:tcW w:type="dxa" w:w="917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A1E30"/>
                <w:sz w:val="16"/>
                <w:szCs w:val="16"/>
              </w:rPr>
              <w:t xml:space="preserve">1.9 — Apresentação final</w:t>
            </w:r>
          </w:p>
        </w:tc>
        <w:tc>
          <w:tcPr>
            <w:tcW w:type="dxa" w:w="300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A1E30"/>
                <w:sz w:val="16"/>
                <w:szCs w:val="16"/>
              </w:rPr>
              <w:t xml:space="preserve">A fazer</w:t>
            </w:r>
          </w:p>
        </w:tc>
      </w:tr>
      <w:tr>
        <w:tc>
          <w:tcPr>
            <w:tcW w:type="dxa" w:w="240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1E30"/>
                <w:sz w:val="16"/>
                <w:szCs w:val="16"/>
              </w:rPr>
              <w:t xml:space="preserve">25/09/2026</w:t>
            </w:r>
          </w:p>
        </w:tc>
        <w:tc>
          <w:tcPr>
            <w:tcW w:type="dxa" w:w="917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A1E30"/>
                <w:sz w:val="16"/>
                <w:szCs w:val="16"/>
              </w:rPr>
              <w:t xml:space="preserve">1.10 — Relatório final</w:t>
            </w:r>
          </w:p>
        </w:tc>
        <w:tc>
          <w:tcPr>
            <w:tcW w:type="dxa" w:w="3000"/>
            <w:tcBorders>
              <w:top w:val="single" w:color="C9D8E2" w:sz="2"/>
              <w:left w:val="single" w:color="C9D8E2" w:sz="2"/>
              <w:bottom w:val="single" w:color="C9D8E2" w:sz="2"/>
              <w:right w:val="single" w:color="C9D8E2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A1E30"/>
                <w:sz w:val="16"/>
                <w:szCs w:val="16"/>
              </w:rPr>
              <w:t xml:space="preserve">A fazer</w:t>
            </w:r>
          </w:p>
        </w:tc>
      </w:tr>
    </w:tbl>
    <w:p>
      <w:pPr>
        <w:spacing w:after="300"/>
      </w:pPr>
    </w:p>
    <w:p>
      <w:pPr>
        <w:pBdr>
          <w:top w:val="single" w:color="C9D8E2" w:sz="4"/>
        </w:pBdr>
        <w:spacing w:after="60" w:before="200"/>
      </w:pPr>
      <w:r>
        <w:rPr>
          <w:rFonts w:ascii="Calibri" w:cs="Calibri" w:eastAsia="Calibri" w:hAnsi="Calibri"/>
          <w:color w:val="5A7285"/>
          <w:sz w:val="15"/>
          <w:szCs w:val="15"/>
        </w:rPr>
        <w:t xml:space="preserve">Hydro Mind — Água Alerta · Diagrama de Gantt, versão 1.0 · setembro de 2026.</w:t>
      </w:r>
    </w:p>
    <w:p>
      <w:r>
        <w:rPr>
          <w:rFonts w:ascii="Calibri" w:cs="Calibri" w:eastAsia="Calibri" w:hAnsi="Calibri"/>
          <w:color w:val="5A7285"/>
          <w:sz w:val="15"/>
          <w:szCs w:val="15"/>
        </w:rPr>
        <w:t xml:space="preserve">Estrutura baseada na Estrutura Analítica do Projeto elaborada pelos autores. Datas de início e durações são estimativas de planejamento, sujeitas a revisão após a captação do aporte.</w:t>
      </w:r>
    </w:p>
    <w:sectPr>
      <w:pgSz w:w="16838" w:h="11906" w:orient="landscape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Diagrama de Gantt — Água Alerta</dc:title>
  <dc:creator>Hydro Mind</dc:creator>
  <dc:description>Cronograma do projeto Água Alerta</dc:description>
  <cp:lastModifiedBy>Un-named</cp:lastModifiedBy>
  <cp:revision>1</cp:revision>
  <dcterms:created xsi:type="dcterms:W3CDTF">2026-09-08T23:38:02.440Z</dcterms:created>
  <dcterms:modified xsi:type="dcterms:W3CDTF">2026-09-08T23:38:02.441Z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