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9D423" w14:textId="3DE0EF90" w:rsidR="002E022A" w:rsidRPr="008916BF" w:rsidRDefault="008916BF" w:rsidP="008916BF">
      <w:pPr>
        <w:jc w:val="center"/>
        <w:rPr>
          <w:b/>
          <w:bCs/>
          <w:sz w:val="36"/>
          <w:szCs w:val="36"/>
        </w:rPr>
      </w:pPr>
      <w:r w:rsidRPr="008916BF">
        <w:rPr>
          <w:b/>
          <w:bCs/>
          <w:sz w:val="36"/>
          <w:szCs w:val="36"/>
        </w:rPr>
        <w:t>Fichamento de Citações TCC</w:t>
      </w:r>
    </w:p>
    <w:tbl>
      <w:tblPr>
        <w:tblStyle w:val="Tabelacomgrade"/>
        <w:tblW w:w="0" w:type="auto"/>
        <w:tblLook w:val="04A0" w:firstRow="1" w:lastRow="0" w:firstColumn="1" w:lastColumn="0" w:noHBand="0" w:noVBand="1"/>
      </w:tblPr>
      <w:tblGrid>
        <w:gridCol w:w="13994"/>
      </w:tblGrid>
      <w:tr w:rsidR="008916BF" w:rsidRPr="00744E6E" w14:paraId="01BCFFB8" w14:textId="77777777" w:rsidTr="008916BF">
        <w:trPr>
          <w:trHeight w:val="487"/>
        </w:trPr>
        <w:tc>
          <w:tcPr>
            <w:tcW w:w="13994" w:type="dxa"/>
          </w:tcPr>
          <w:p w14:paraId="2F6E82F8" w14:textId="48B72FC3" w:rsidR="008916BF" w:rsidRPr="00744E6E" w:rsidRDefault="00744E6E" w:rsidP="00181390">
            <w:pPr>
              <w:spacing w:before="240"/>
            </w:pPr>
            <w:r w:rsidRPr="00744E6E">
              <w:rPr>
                <w:lang w:val="en-US"/>
              </w:rPr>
              <w:t>GERLOW, M</w:t>
            </w:r>
            <w:r w:rsidRPr="00744E6E">
              <w:rPr>
                <w:lang w:val="en-US"/>
              </w:rPr>
              <w:t>.</w:t>
            </w:r>
            <w:r w:rsidRPr="00744E6E">
              <w:rPr>
                <w:lang w:val="en-US"/>
              </w:rPr>
              <w:t xml:space="preserve"> E.; IRWIN, S</w:t>
            </w:r>
            <w:r w:rsidRPr="00744E6E">
              <w:rPr>
                <w:lang w:val="en-US"/>
              </w:rPr>
              <w:t>.</w:t>
            </w:r>
            <w:r w:rsidRPr="00744E6E">
              <w:rPr>
                <w:lang w:val="en-US"/>
              </w:rPr>
              <w:t xml:space="preserve"> H.; LIU, T. Economic evaluation of commodity price forecasting models. </w:t>
            </w:r>
            <w:r w:rsidRPr="00744E6E">
              <w:rPr>
                <w:b/>
                <w:bCs/>
                <w:lang w:val="en-US"/>
              </w:rPr>
              <w:t xml:space="preserve">International Journal </w:t>
            </w:r>
            <w:proofErr w:type="gramStart"/>
            <w:r w:rsidRPr="00744E6E">
              <w:rPr>
                <w:b/>
                <w:bCs/>
                <w:lang w:val="en-US"/>
              </w:rPr>
              <w:t>Of</w:t>
            </w:r>
            <w:proofErr w:type="gramEnd"/>
            <w:r w:rsidRPr="00744E6E">
              <w:rPr>
                <w:b/>
                <w:bCs/>
                <w:lang w:val="en-US"/>
              </w:rPr>
              <w:t xml:space="preserve"> Forecasting</w:t>
            </w:r>
            <w:r w:rsidRPr="00744E6E">
              <w:rPr>
                <w:lang w:val="en-US"/>
              </w:rPr>
              <w:t xml:space="preserve">, [S.L.], v. 9, n. 3, p. 387-397, </w:t>
            </w:r>
            <w:proofErr w:type="spellStart"/>
            <w:r w:rsidRPr="00744E6E">
              <w:rPr>
                <w:lang w:val="en-US"/>
              </w:rPr>
              <w:t>nov.</w:t>
            </w:r>
            <w:proofErr w:type="spellEnd"/>
            <w:r w:rsidRPr="00744E6E">
              <w:rPr>
                <w:lang w:val="en-US"/>
              </w:rPr>
              <w:t xml:space="preserve"> 1993. </w:t>
            </w:r>
            <w:r w:rsidRPr="00744E6E">
              <w:t>Elsevier BV. http://dx.doi.org/10.1016/0169-2070(93)90032-i.</w:t>
            </w:r>
          </w:p>
          <w:p w14:paraId="08F90568" w14:textId="2E46A730" w:rsidR="00167E99" w:rsidRDefault="00167E99" w:rsidP="00181390">
            <w:pPr>
              <w:spacing w:before="240"/>
            </w:pPr>
            <w:r w:rsidRPr="00167E99">
              <w:t>Normalmente, as previsões de preços são avaliadas com base em critérios estatísticos, como erro médio, erro absoluto médio ou raiz do erro quadrático médio. Uma abordagem alternativa para avaliar as previsões de preços é analisá-las usando critérios econômicos.</w:t>
            </w:r>
          </w:p>
          <w:p w14:paraId="5C6EFC87" w14:textId="28DAB989" w:rsidR="00E002B7" w:rsidRDefault="00167E99" w:rsidP="00181390">
            <w:pPr>
              <w:spacing w:before="240"/>
            </w:pPr>
            <w:r w:rsidRPr="00167E99">
              <w:t>Quatro tipos de critérios econômicos são aplicados a cinco modelos trimestrais de previsão de preços de suínos no período de 1976:I-1985:IV.</w:t>
            </w:r>
          </w:p>
          <w:p w14:paraId="7D5FCE58" w14:textId="77777777" w:rsidR="00167E99" w:rsidRDefault="00167E99" w:rsidP="00181390">
            <w:pPr>
              <w:spacing w:before="240"/>
            </w:pPr>
            <w:r w:rsidRPr="00167E99">
              <w:t>Em geral, as avaliações dos modelos segundo os diferentes critérios econômicos são consistentes entre si. Entretanto, as avaliações econômicas não são consistentes com as encontradas usando a avaliação estatística tradicional.</w:t>
            </w:r>
          </w:p>
          <w:p w14:paraId="39DECD6A" w14:textId="77777777" w:rsidR="00E002B7" w:rsidRDefault="00E002B7" w:rsidP="00181390">
            <w:pPr>
              <w:spacing w:before="240"/>
            </w:pPr>
            <w:r w:rsidRPr="00E002B7">
              <w:t>A previsão de preços é parte integrante da tomada de decisões econômicas. As previsões podem ser usadas de várias maneiras; especificamente, as pessoas podem usar previsões para tentar obter renda de atividades especulativas, para determinar políticas governamentais ideais ou para tomar decisões de negócios [</w:t>
            </w:r>
            <w:proofErr w:type="spellStart"/>
            <w:r w:rsidRPr="00E002B7">
              <w:t>Stockman</w:t>
            </w:r>
            <w:proofErr w:type="spellEnd"/>
            <w:r w:rsidRPr="00E002B7">
              <w:t xml:space="preserve"> (1987)]. As previsões econômicas são geralmente usadas para as duas últimas finalidades, especialmente para proteger os riscos de preço.</w:t>
            </w:r>
          </w:p>
          <w:p w14:paraId="771F6513" w14:textId="77777777" w:rsidR="00E002B7" w:rsidRDefault="00E002B7" w:rsidP="00181390">
            <w:pPr>
              <w:spacing w:before="240"/>
            </w:pPr>
            <w:r w:rsidRPr="00E002B7">
              <w:t>a avaliação com base em critérios econômicos pode fornecer informações adicionais importantes sobre o desempenho de um modelo de previsão.</w:t>
            </w:r>
          </w:p>
          <w:p w14:paraId="1706FA4C" w14:textId="3C532831" w:rsidR="00E002B7" w:rsidRPr="00744E6E" w:rsidRDefault="00E002B7" w:rsidP="00181390">
            <w:pPr>
              <w:spacing w:before="240"/>
            </w:pPr>
            <w:r w:rsidRPr="00E002B7">
              <w:t>Os modelos, mostrados na Tabela 1, incluem um modelo econométrico, um modelo ARIMA, um modelo de opinião de especialistas e dois modelos compostos (a especificação dos modelos de previsão baseia-se nos modelos apresentados em Bessler e Brandt (1979)).</w:t>
            </w:r>
          </w:p>
        </w:tc>
      </w:tr>
    </w:tbl>
    <w:p w14:paraId="2901CEBF" w14:textId="77777777" w:rsidR="008916BF" w:rsidRPr="00744E6E" w:rsidRDefault="008916BF"/>
    <w:tbl>
      <w:tblPr>
        <w:tblStyle w:val="Tabelacomgrade"/>
        <w:tblW w:w="0" w:type="auto"/>
        <w:tblLook w:val="04A0" w:firstRow="1" w:lastRow="0" w:firstColumn="1" w:lastColumn="0" w:noHBand="0" w:noVBand="1"/>
      </w:tblPr>
      <w:tblGrid>
        <w:gridCol w:w="13994"/>
      </w:tblGrid>
      <w:tr w:rsidR="00744E6E" w:rsidRPr="00EE52A8" w14:paraId="3F317BFF" w14:textId="77777777" w:rsidTr="00744E6E">
        <w:tc>
          <w:tcPr>
            <w:tcW w:w="13994" w:type="dxa"/>
          </w:tcPr>
          <w:p w14:paraId="426F527F" w14:textId="3FD45593" w:rsidR="00744E6E" w:rsidRPr="00EE52A8" w:rsidRDefault="00744E6E" w:rsidP="00E002B7">
            <w:pPr>
              <w:spacing w:before="240"/>
            </w:pPr>
            <w:r w:rsidRPr="00744E6E">
              <w:rPr>
                <w:lang w:val="en-US"/>
              </w:rPr>
              <w:t xml:space="preserve">RICHTER, M. C.; </w:t>
            </w:r>
            <w:bookmarkStart w:id="0" w:name="_Hlk144479520"/>
            <w:r w:rsidRPr="00744E6E">
              <w:rPr>
                <w:lang w:val="en-US"/>
              </w:rPr>
              <w:t>SØRENSEN</w:t>
            </w:r>
            <w:bookmarkEnd w:id="0"/>
            <w:r w:rsidRPr="00744E6E">
              <w:rPr>
                <w:lang w:val="en-US"/>
              </w:rPr>
              <w:t xml:space="preserve">, C. Stochastic Volatility and Seasonality in Commodity Futures and Options: The Case of Soybeans. </w:t>
            </w:r>
            <w:r w:rsidRPr="00744E6E">
              <w:rPr>
                <w:b/>
                <w:bCs/>
                <w:lang w:val="en-US"/>
              </w:rPr>
              <w:t>SSRN Electronic Journal</w:t>
            </w:r>
            <w:r w:rsidRPr="00744E6E">
              <w:rPr>
                <w:lang w:val="en-US"/>
              </w:rPr>
              <w:t xml:space="preserve">, [S.L.], 2002. Elsevier BV. </w:t>
            </w:r>
            <w:hyperlink r:id="rId4" w:history="1">
              <w:r w:rsidR="00E002B7" w:rsidRPr="00EE52A8">
                <w:rPr>
                  <w:rStyle w:val="Hyperlink"/>
                </w:rPr>
                <w:t>http://dx.doi.org/10.2139/ssrn.301994</w:t>
              </w:r>
            </w:hyperlink>
            <w:r w:rsidRPr="00EE52A8">
              <w:t>.</w:t>
            </w:r>
          </w:p>
          <w:p w14:paraId="0EF2222D" w14:textId="77777777" w:rsidR="00E002B7" w:rsidRDefault="00EE52A8" w:rsidP="00E002B7">
            <w:pPr>
              <w:spacing w:before="240"/>
            </w:pPr>
            <w:r w:rsidRPr="00EE52A8">
              <w:t xml:space="preserve">Estimamos </w:t>
            </w:r>
            <w:bookmarkStart w:id="1" w:name="_Hlk144479603"/>
            <w:r w:rsidRPr="00EE52A8">
              <w:t>um modelo de volatilidade estocástica em tempo contínuo usando dados em painel de soja</w:t>
            </w:r>
            <w:r>
              <w:t xml:space="preserve"> </w:t>
            </w:r>
            <w:r w:rsidRPr="00EE52A8">
              <w:t>futuros de feijão e opções sobre futuros de soja.</w:t>
            </w:r>
            <w:bookmarkEnd w:id="1"/>
          </w:p>
          <w:p w14:paraId="34082CC9" w14:textId="77777777" w:rsidR="00EE52A8" w:rsidRDefault="00EE52A8" w:rsidP="00E002B7">
            <w:pPr>
              <w:spacing w:before="240"/>
            </w:pPr>
            <w:r w:rsidRPr="00EE52A8">
              <w:t>a modelagem reconhece que as commodities exibem padrões de sazonalidade</w:t>
            </w:r>
            <w:r>
              <w:t>.</w:t>
            </w:r>
          </w:p>
          <w:p w14:paraId="7236E664" w14:textId="31BE2B60" w:rsidR="00EE52A8" w:rsidRPr="00EE52A8" w:rsidRDefault="00EE52A8" w:rsidP="00E002B7">
            <w:pPr>
              <w:spacing w:before="240"/>
            </w:pPr>
            <w:r w:rsidRPr="00EE52A8">
              <w:lastRenderedPageBreak/>
              <w:t>Os resultados da estimativa são obtidos com base em observações semanais</w:t>
            </w:r>
            <w:r>
              <w:t xml:space="preserve"> </w:t>
            </w:r>
            <w:r w:rsidRPr="00EE52A8">
              <w:t xml:space="preserve">dos preços futuros de soja e preços de opções da Chicago Board </w:t>
            </w:r>
            <w:proofErr w:type="spellStart"/>
            <w:r w:rsidRPr="00EE52A8">
              <w:t>of</w:t>
            </w:r>
            <w:proofErr w:type="spellEnd"/>
            <w:r w:rsidRPr="00EE52A8">
              <w:t xml:space="preserve"> Trade</w:t>
            </w:r>
            <w:r>
              <w:t>.</w:t>
            </w:r>
          </w:p>
        </w:tc>
      </w:tr>
    </w:tbl>
    <w:p w14:paraId="00B9767B" w14:textId="77777777" w:rsidR="00744E6E" w:rsidRDefault="00744E6E"/>
    <w:tbl>
      <w:tblPr>
        <w:tblStyle w:val="Tabelacomgrade"/>
        <w:tblW w:w="0" w:type="auto"/>
        <w:tblLook w:val="04A0" w:firstRow="1" w:lastRow="0" w:firstColumn="1" w:lastColumn="0" w:noHBand="0" w:noVBand="1"/>
      </w:tblPr>
      <w:tblGrid>
        <w:gridCol w:w="13994"/>
      </w:tblGrid>
      <w:tr w:rsidR="00181390" w:rsidRPr="002150EF" w14:paraId="25AC6B49" w14:textId="77777777" w:rsidTr="00181390">
        <w:tc>
          <w:tcPr>
            <w:tcW w:w="13994" w:type="dxa"/>
          </w:tcPr>
          <w:p w14:paraId="08F3BB31" w14:textId="32A82B76" w:rsidR="002150EF" w:rsidRDefault="00F30989" w:rsidP="00F30989">
            <w:pPr>
              <w:spacing w:before="240"/>
            </w:pPr>
            <w:bookmarkStart w:id="2" w:name="_Hlk144481211"/>
            <w:r w:rsidRPr="00F30989">
              <w:rPr>
                <w:lang w:val="en-US"/>
              </w:rPr>
              <w:t xml:space="preserve">BROOKS, Chris; PROKOPCZUK, Marcel. The dynamics of commodity prices. </w:t>
            </w:r>
            <w:proofErr w:type="spellStart"/>
            <w:r w:rsidRPr="003E6B90">
              <w:rPr>
                <w:b/>
                <w:bCs/>
              </w:rPr>
              <w:t>Quantitative</w:t>
            </w:r>
            <w:proofErr w:type="spellEnd"/>
            <w:r w:rsidRPr="003E6B90">
              <w:rPr>
                <w:b/>
                <w:bCs/>
              </w:rPr>
              <w:t xml:space="preserve"> Finance</w:t>
            </w:r>
            <w:r w:rsidRPr="00F30989">
              <w:t xml:space="preserve">, [S.L.], v. 13, n. 4, p. 527-542, abr. 2013. Informa UK </w:t>
            </w:r>
            <w:proofErr w:type="spellStart"/>
            <w:r w:rsidRPr="00F30989">
              <w:t>Limited</w:t>
            </w:r>
            <w:proofErr w:type="spellEnd"/>
            <w:r w:rsidRPr="00F30989">
              <w:t xml:space="preserve">. </w:t>
            </w:r>
            <w:hyperlink r:id="rId5" w:history="1">
              <w:r w:rsidRPr="00BC35D3">
                <w:rPr>
                  <w:rStyle w:val="Hyperlink"/>
                </w:rPr>
                <w:t>http://dx.doi.org/10.1080/14697688.2013.769689</w:t>
              </w:r>
            </w:hyperlink>
            <w:r w:rsidRPr="00F30989">
              <w:t>.</w:t>
            </w:r>
          </w:p>
          <w:bookmarkEnd w:id="2"/>
          <w:p w14:paraId="17777371" w14:textId="77777777" w:rsidR="00F30989" w:rsidRDefault="00920FD7" w:rsidP="00F30989">
            <w:pPr>
              <w:spacing w:before="240"/>
            </w:pPr>
            <w:r w:rsidRPr="00920FD7">
              <w:t xml:space="preserve">Neste artigo </w:t>
            </w:r>
            <w:bookmarkStart w:id="3" w:name="_Hlk144479815"/>
            <w:r w:rsidRPr="00920FD7">
              <w:t>estudamos o comportamento estocástico dos preços e volatilidades de uma amostra de seis dos mais importantes mercados de commodities e comparamos essas propriedades com as do mercado acionário. observamos um grau substancial de heterogeneidade no comportamento das séries.</w:t>
            </w:r>
            <w:bookmarkEnd w:id="3"/>
          </w:p>
          <w:p w14:paraId="5A82A3C0" w14:textId="77777777" w:rsidR="00920FD7" w:rsidRDefault="00920FD7" w:rsidP="00F30989">
            <w:pPr>
              <w:spacing w:before="240"/>
            </w:pPr>
            <w:r w:rsidRPr="00920FD7">
              <w:t xml:space="preserve">As nossas conclusões mostram que não é apropriado tratar diferentes tipos de mercadorias como uma única classe de </w:t>
            </w:r>
            <w:proofErr w:type="spellStart"/>
            <w:r w:rsidRPr="00920FD7">
              <w:t>activos</w:t>
            </w:r>
            <w:proofErr w:type="spellEnd"/>
            <w:r w:rsidRPr="00920FD7">
              <w:t>, como é frequentemente o caso na literatura académica e na indústria.</w:t>
            </w:r>
          </w:p>
          <w:p w14:paraId="7F0AE26A" w14:textId="77777777" w:rsidR="00920FD7" w:rsidRDefault="00920FD7" w:rsidP="00F30989">
            <w:pPr>
              <w:spacing w:before="240"/>
            </w:pPr>
            <w:r w:rsidRPr="00920FD7">
              <w:t>Demonstramos que as commodities podem ser um diversificador útil da volatilidade das ações, bem como dos retornos das ações. A precificação de opções e as aplicações de hedge exemplificam os impactos econômicos das diferenças entre commodities e entre especificações de modelos.</w:t>
            </w:r>
          </w:p>
          <w:p w14:paraId="0E535BA7" w14:textId="77777777" w:rsidR="00920FD7" w:rsidRDefault="00920FD7" w:rsidP="00F30989">
            <w:pPr>
              <w:spacing w:before="240"/>
            </w:pPr>
            <w:r w:rsidRPr="00920FD7">
              <w:t>Seguindo o trabalho seminal de Samuelson (1965), é agora amplamente aceite que os preços das matérias-primas flutuam aleatoriamente.</w:t>
            </w:r>
          </w:p>
          <w:p w14:paraId="661EADF3" w14:textId="77777777" w:rsidR="00920FD7" w:rsidRDefault="00920FD7" w:rsidP="00F30989">
            <w:pPr>
              <w:spacing w:before="240"/>
            </w:pPr>
            <w:r w:rsidRPr="00920FD7">
              <w:t>esta é a primeira pesquisa a aplicar de forma abrangente uma série de modelos de volatilidade estocástica a mercadorias de vários segmentos de mercado.</w:t>
            </w:r>
          </w:p>
          <w:p w14:paraId="0FB60EF7" w14:textId="66D8DA9D" w:rsidR="00920FD7" w:rsidRDefault="00920FD7" w:rsidP="00F30989">
            <w:pPr>
              <w:spacing w:before="240"/>
            </w:pPr>
            <w:bookmarkStart w:id="4" w:name="_Hlk144473383"/>
            <w:r w:rsidRPr="00920FD7">
              <w:t xml:space="preserve">Uma boa compreensão do comportamento dos preços das matérias-primas e das suas interdependências, bem como da sua relação com o mercado acionista, é importante para investidores, produtores, consumidores </w:t>
            </w:r>
            <w:proofErr w:type="gramStart"/>
            <w:r>
              <w:t>e</w:t>
            </w:r>
            <w:r w:rsidRPr="00920FD7">
              <w:t xml:space="preserve"> também</w:t>
            </w:r>
            <w:proofErr w:type="gramEnd"/>
            <w:r w:rsidRPr="00920FD7">
              <w:t xml:space="preserve"> para os decisores políticos.</w:t>
            </w:r>
            <w:r>
              <w:t xml:space="preserve"> (p.1)</w:t>
            </w:r>
          </w:p>
          <w:bookmarkEnd w:id="4"/>
          <w:p w14:paraId="5F83644F" w14:textId="77777777" w:rsidR="00920FD7" w:rsidRDefault="00EB5B5B" w:rsidP="00F30989">
            <w:pPr>
              <w:spacing w:before="240"/>
            </w:pPr>
            <w:r w:rsidRPr="00EB5B5B">
              <w:t xml:space="preserve">Em comparação com este conjunto de investigação sobre os mercados </w:t>
            </w:r>
            <w:proofErr w:type="spellStart"/>
            <w:r w:rsidRPr="00EB5B5B">
              <w:t>accionistas</w:t>
            </w:r>
            <w:proofErr w:type="spellEnd"/>
            <w:r w:rsidRPr="00EB5B5B">
              <w:t>, os estudos empíricos mais avançados sobre os mercados de matérias-primas são escassos. Dos poucos exemplos que existem de tais estudos, Brennan e Schwartz (1985), Gibson e Schwartz (1990), Schwartz (1977) e Schwartz e Smith (2000) estudam a capacidade de modelos de fatores gaussianos de tempo contínuo com volatilidade constante para descrever o comportamento estocástico da curva de futuros, considerando principalmente o mercado de petróleo</w:t>
            </w:r>
            <w:r>
              <w:t>.</w:t>
            </w:r>
          </w:p>
          <w:p w14:paraId="4D1A3CB1" w14:textId="77777777" w:rsidR="00EB5B5B" w:rsidRDefault="00EB5B5B" w:rsidP="00F30989">
            <w:pPr>
              <w:spacing w:before="240"/>
            </w:pPr>
            <w:r w:rsidRPr="00EB5B5B">
              <w:t>cadeia de Markov Monte Carlo (MCMC) que usamos para estimar todos os modelos</w:t>
            </w:r>
            <w:r>
              <w:t>.</w:t>
            </w:r>
          </w:p>
          <w:p w14:paraId="3C4106BE" w14:textId="0738CDD4" w:rsidR="006E6ECC" w:rsidRPr="002150EF" w:rsidRDefault="00EB5B5B" w:rsidP="00F30989">
            <w:pPr>
              <w:spacing w:before="240"/>
            </w:pPr>
            <w:r w:rsidRPr="00EB5B5B">
              <w:lastRenderedPageBreak/>
              <w:t>as commodities podem ser um recurso ainda mais útil</w:t>
            </w:r>
            <w:r>
              <w:t xml:space="preserve"> </w:t>
            </w:r>
            <w:r w:rsidR="006E6ECC" w:rsidRPr="006E6ECC">
              <w:t>constituinte do portfólio do que se pensava anteriormente, pois podem atuar</w:t>
            </w:r>
            <w:r w:rsidR="006E6ECC">
              <w:t xml:space="preserve"> </w:t>
            </w:r>
            <w:r w:rsidR="006E6ECC" w:rsidRPr="006E6ECC">
              <w:t>também como um diversificador de volatilidade</w:t>
            </w:r>
            <w:r w:rsidR="006E6ECC">
              <w:t>.</w:t>
            </w:r>
          </w:p>
        </w:tc>
      </w:tr>
    </w:tbl>
    <w:p w14:paraId="083EBA81" w14:textId="77777777" w:rsidR="00181390" w:rsidRDefault="00181390"/>
    <w:tbl>
      <w:tblPr>
        <w:tblStyle w:val="Tabelacomgrade"/>
        <w:tblW w:w="0" w:type="auto"/>
        <w:tblLook w:val="04A0" w:firstRow="1" w:lastRow="0" w:firstColumn="1" w:lastColumn="0" w:noHBand="0" w:noVBand="1"/>
      </w:tblPr>
      <w:tblGrid>
        <w:gridCol w:w="13994"/>
      </w:tblGrid>
      <w:tr w:rsidR="006E6ECC" w:rsidRPr="006E6ECC" w14:paraId="24BB95F2" w14:textId="77777777" w:rsidTr="006E6ECC">
        <w:tc>
          <w:tcPr>
            <w:tcW w:w="13994" w:type="dxa"/>
          </w:tcPr>
          <w:p w14:paraId="28C44C30" w14:textId="15D323AD" w:rsidR="000261B2" w:rsidRPr="000261B2" w:rsidRDefault="000261B2" w:rsidP="000261B2">
            <w:pPr>
              <w:spacing w:before="240" w:after="0" w:line="240" w:lineRule="auto"/>
              <w:rPr>
                <w:lang w:val="en-US"/>
              </w:rPr>
            </w:pPr>
            <w:proofErr w:type="spellStart"/>
            <w:r w:rsidRPr="000261B2">
              <w:rPr>
                <w:lang w:val="en-US"/>
              </w:rPr>
              <w:t>Referência</w:t>
            </w:r>
            <w:proofErr w:type="spellEnd"/>
            <w:r w:rsidRPr="000261B2">
              <w:rPr>
                <w:lang w:val="en-US"/>
              </w:rPr>
              <w:t xml:space="preserve">: </w:t>
            </w:r>
            <w:bookmarkStart w:id="5" w:name="_Hlk144481365"/>
            <w:r w:rsidRPr="000261B2">
              <w:rPr>
                <w:lang w:val="en-US"/>
              </w:rPr>
              <w:t xml:space="preserve">CHANG, Chia-Lin; MCALEER, Michael. Econometric analysis of financial derivatives: an overview. </w:t>
            </w:r>
            <w:r w:rsidRPr="000261B2">
              <w:rPr>
                <w:b/>
                <w:bCs/>
                <w:lang w:val="en-US"/>
              </w:rPr>
              <w:t>Journal Of Econometrics</w:t>
            </w:r>
            <w:r w:rsidRPr="000261B2">
              <w:rPr>
                <w:lang w:val="en-US"/>
              </w:rPr>
              <w:t>, [S.L.], v. 187, n. 2, p. 403-407, ago. 2015. Elsevier BV. http://dx.doi.org/10.1016/j.jeconom.2015.02.026.</w:t>
            </w:r>
          </w:p>
          <w:bookmarkEnd w:id="5"/>
          <w:p w14:paraId="0A5781D6" w14:textId="600C6376" w:rsidR="000261B2" w:rsidRDefault="000261B2" w:rsidP="000261B2">
            <w:pPr>
              <w:spacing w:before="240" w:after="0" w:line="240" w:lineRule="auto"/>
            </w:pPr>
            <w:r>
              <w:t xml:space="preserve">Citação com autor incluído no texto: Chang e </w:t>
            </w:r>
            <w:proofErr w:type="spellStart"/>
            <w:r>
              <w:t>McAleer</w:t>
            </w:r>
            <w:proofErr w:type="spellEnd"/>
            <w:r>
              <w:t xml:space="preserve"> (2015)</w:t>
            </w:r>
          </w:p>
          <w:p w14:paraId="6A796654" w14:textId="77777777" w:rsidR="006E6ECC" w:rsidRDefault="000261B2" w:rsidP="000261B2">
            <w:pPr>
              <w:spacing w:before="240"/>
            </w:pPr>
            <w:r>
              <w:t>Citação com autor não incluído no texto: (</w:t>
            </w:r>
            <w:bookmarkStart w:id="6" w:name="_Hlk144472362"/>
            <w:r>
              <w:t>CHANG; MCALEER, 2015</w:t>
            </w:r>
            <w:bookmarkEnd w:id="6"/>
            <w:r>
              <w:t>)</w:t>
            </w:r>
          </w:p>
          <w:p w14:paraId="51ECEB87" w14:textId="6BE39A3B" w:rsidR="000261B2" w:rsidRDefault="003A7E50" w:rsidP="000261B2">
            <w:pPr>
              <w:spacing w:before="240"/>
            </w:pPr>
            <w:bookmarkStart w:id="7" w:name="_Hlk144472348"/>
            <w:r w:rsidRPr="003A7E50">
              <w:t>Juntamente com as ações e as obrigações, os derivados constituem a terceira categoria principal de instrumentos financeiros e são normalmente negociados em bolsa ou no mercado de balcão</w:t>
            </w:r>
            <w:bookmarkEnd w:id="7"/>
            <w:r w:rsidRPr="003A7E50">
              <w:t>.</w:t>
            </w:r>
            <w:r>
              <w:t xml:space="preserve"> (p.1)</w:t>
            </w:r>
          </w:p>
          <w:p w14:paraId="43C98336" w14:textId="7573B8DA" w:rsidR="003A7E50" w:rsidRPr="006E6ECC" w:rsidRDefault="003A7E50" w:rsidP="000261B2">
            <w:pPr>
              <w:spacing w:before="240"/>
            </w:pPr>
            <w:bookmarkStart w:id="8" w:name="_Hlk144472333"/>
            <w:r w:rsidRPr="003A7E50">
              <w:t xml:space="preserve">Uma das áreas de crescimento mais rápido nas finanças empíricas, </w:t>
            </w:r>
            <w:proofErr w:type="gramStart"/>
            <w:r w:rsidRPr="003A7E50">
              <w:t>e também</w:t>
            </w:r>
            <w:proofErr w:type="gramEnd"/>
            <w:r w:rsidRPr="003A7E50">
              <w:t xml:space="preserve"> uma das menos rigorosamente analisadas, especialmente do ponto de vista da econometria financeira, é a análise econométrica de derivados financeiros</w:t>
            </w:r>
            <w:bookmarkEnd w:id="8"/>
            <w:r w:rsidRPr="003A7E50">
              <w:t>.</w:t>
            </w:r>
            <w:r w:rsidR="00D1673C">
              <w:t xml:space="preserve"> </w:t>
            </w:r>
            <w:r w:rsidR="00D1673C">
              <w:t>(p.1)</w:t>
            </w:r>
          </w:p>
        </w:tc>
      </w:tr>
    </w:tbl>
    <w:p w14:paraId="202661AD" w14:textId="77777777" w:rsidR="006E6ECC" w:rsidRDefault="006E6ECC"/>
    <w:tbl>
      <w:tblPr>
        <w:tblStyle w:val="Tabelacomgrade"/>
        <w:tblW w:w="0" w:type="auto"/>
        <w:tblLook w:val="04A0" w:firstRow="1" w:lastRow="0" w:firstColumn="1" w:lastColumn="0" w:noHBand="0" w:noVBand="1"/>
      </w:tblPr>
      <w:tblGrid>
        <w:gridCol w:w="13994"/>
      </w:tblGrid>
      <w:tr w:rsidR="00D1673C" w14:paraId="0FC0C38F" w14:textId="77777777" w:rsidTr="00D1673C">
        <w:tc>
          <w:tcPr>
            <w:tcW w:w="13994" w:type="dxa"/>
          </w:tcPr>
          <w:p w14:paraId="090E716A" w14:textId="1C06647B" w:rsidR="00D1673C" w:rsidRDefault="00D1673C" w:rsidP="00D1673C">
            <w:pPr>
              <w:spacing w:before="240" w:after="0" w:line="240" w:lineRule="auto"/>
            </w:pPr>
            <w:r>
              <w:t xml:space="preserve">Referência: HAASE, Marco; ZIMMERMANN, Yvonne </w:t>
            </w:r>
            <w:proofErr w:type="spellStart"/>
            <w:r>
              <w:t>Seiler</w:t>
            </w:r>
            <w:proofErr w:type="spellEnd"/>
            <w:r>
              <w:t xml:space="preserve">; ZIMMERMANN, Heinz. </w:t>
            </w:r>
            <w:r w:rsidRPr="00D1673C">
              <w:rPr>
                <w:lang w:val="en-US"/>
              </w:rPr>
              <w:t xml:space="preserve">The impact of speculation on commodity futures markets – A review of the findings of 100 empirical studies. Journal Of Commodity Markets, [S.L.], v. 3, n. 1, p. 1-15, set. 2016. </w:t>
            </w:r>
            <w:r>
              <w:t>Elsevier BV. http://dx.doi.org/10.1016/j.jcomm.2016.07.006.</w:t>
            </w:r>
          </w:p>
          <w:p w14:paraId="48E65EAA" w14:textId="3C4971AA" w:rsidR="00D1673C" w:rsidRDefault="00D1673C" w:rsidP="00D1673C">
            <w:pPr>
              <w:spacing w:before="240" w:after="0" w:line="240" w:lineRule="auto"/>
            </w:pPr>
            <w:r>
              <w:t xml:space="preserve">Citação com autor incluído no texto: </w:t>
            </w:r>
            <w:bookmarkStart w:id="9" w:name="_Hlk144472524"/>
            <w:r>
              <w:t>Haase, Zimmermann e Zimmermann (2016)</w:t>
            </w:r>
            <w:bookmarkEnd w:id="9"/>
          </w:p>
          <w:p w14:paraId="04D4C6A1" w14:textId="77777777" w:rsidR="00D1673C" w:rsidRDefault="00D1673C" w:rsidP="00D1673C">
            <w:pPr>
              <w:spacing w:before="240"/>
            </w:pPr>
            <w:r>
              <w:t>Citação com autor não incluído no texto: (HAASE; ZIMMERMANN; ZIMMERMANN, 2016)</w:t>
            </w:r>
          </w:p>
          <w:p w14:paraId="7943D7F3" w14:textId="77777777" w:rsidR="00D1673C" w:rsidRDefault="005F23CD" w:rsidP="00D1673C">
            <w:pPr>
              <w:spacing w:before="240"/>
            </w:pPr>
            <w:r w:rsidRPr="005F23CD">
              <w:t>Existem numerosos estudos empíricos sobre o impacto da especulação nos futuros de commodities</w:t>
            </w:r>
            <w:r>
              <w:t xml:space="preserve"> </w:t>
            </w:r>
            <w:r w:rsidRPr="005F23CD">
              <w:t>mercados. Os artigos diferem fortemente em termos da variável de foco (por exemplo, preço, volatilidade,</w:t>
            </w:r>
            <w:r>
              <w:t xml:space="preserve"> </w:t>
            </w:r>
            <w:r w:rsidRPr="005F23CD">
              <w:t>efeitos colaterais) de efeitos especulativos, a medida de especulação utilizada e a qualidade geral.</w:t>
            </w:r>
          </w:p>
          <w:p w14:paraId="60EE1F2C" w14:textId="5ECA3E14" w:rsidR="005F23CD" w:rsidRDefault="005F23CD" w:rsidP="00D1673C">
            <w:pPr>
              <w:spacing w:before="240"/>
            </w:pPr>
            <w:r w:rsidRPr="005F23CD">
              <w:lastRenderedPageBreak/>
              <w:t>Independentemente do seu sinal,</w:t>
            </w:r>
            <w:r>
              <w:t xml:space="preserve"> </w:t>
            </w:r>
            <w:r w:rsidRPr="005F23CD">
              <w:t>a especulação é frequentemente considerada uma das principais causas do</w:t>
            </w:r>
            <w:r>
              <w:t xml:space="preserve"> </w:t>
            </w:r>
            <w:r w:rsidRPr="005F23CD">
              <w:t>aumento da volatilidade dos preços, bem como das repercussões dos preços</w:t>
            </w:r>
            <w:r>
              <w:t xml:space="preserve"> </w:t>
            </w:r>
            <w:r w:rsidRPr="005F23CD">
              <w:t>e da volatilidade dos mercados financeiros para os mercados de matérias-primas</w:t>
            </w:r>
            <w:r>
              <w:t xml:space="preserve"> </w:t>
            </w:r>
            <w:r w:rsidRPr="005F23CD">
              <w:t xml:space="preserve">(chamada “financeirização”) com efeitos adversos sobre </w:t>
            </w:r>
            <w:r>
              <w:t>a</w:t>
            </w:r>
            <w:r w:rsidRPr="005F23CD">
              <w:t xml:space="preserve"> real</w:t>
            </w:r>
            <w:r>
              <w:t xml:space="preserve"> </w:t>
            </w:r>
            <w:r w:rsidRPr="005F23CD">
              <w:t>economia.</w:t>
            </w:r>
          </w:p>
          <w:p w14:paraId="40207E7D" w14:textId="77777777" w:rsidR="005F23CD" w:rsidRDefault="003755EC" w:rsidP="00D1673C">
            <w:pPr>
              <w:spacing w:before="240"/>
            </w:pPr>
            <w:r w:rsidRPr="003755EC">
              <w:t>O artigo conclui que não há consenso entre os economistas sobre o impacto da especulação nos mercados futuros de commodities.</w:t>
            </w:r>
          </w:p>
          <w:p w14:paraId="4CBB9BB0" w14:textId="77777777" w:rsidR="003755EC" w:rsidRDefault="003755EC" w:rsidP="00D1673C">
            <w:pPr>
              <w:spacing w:before="240"/>
            </w:pPr>
            <w:r w:rsidRPr="003755EC">
              <w:t>Alguns estudos não encontram um impacto sistemático da especulação nos preços das commodities agrícolas, enquanto outros identificam efeitos de reforço nos preços, mas efeitos indeterminados nos retornos e na volatilidade</w:t>
            </w:r>
          </w:p>
          <w:p w14:paraId="1A0A1C78" w14:textId="77777777" w:rsidR="003755EC" w:rsidRDefault="003755EC" w:rsidP="00D1673C">
            <w:pPr>
              <w:spacing w:before="240"/>
            </w:pPr>
            <w:r w:rsidRPr="003755EC">
              <w:t>A especulação nos mercados de commodities agrícolas é vista como uma preocupação, pois pode levar a aumentos nos preços dos alimentos, afetando negativamente as economias menos desenvolvidas.</w:t>
            </w:r>
          </w:p>
          <w:p w14:paraId="3B719729" w14:textId="05CC1BB4" w:rsidR="003755EC" w:rsidRDefault="003755EC" w:rsidP="00D1673C">
            <w:pPr>
              <w:spacing w:before="240"/>
            </w:pPr>
            <w:r w:rsidRPr="003755EC">
              <w:t>é importante ressaltar que a previsão de preços de commodities agrícolas é um desafio complexo devido à natureza volátil desses mercados e à influência de múltiplos fatores. Portanto, é necessário considerar uma variedade de informações e modelos para obter previsões mais precisas</w:t>
            </w:r>
            <w:r>
              <w:t>.</w:t>
            </w:r>
          </w:p>
        </w:tc>
      </w:tr>
    </w:tbl>
    <w:p w14:paraId="7FB01EA9" w14:textId="77777777" w:rsidR="00D1673C" w:rsidRDefault="00D1673C"/>
    <w:tbl>
      <w:tblPr>
        <w:tblStyle w:val="Tabelacomgrade"/>
        <w:tblW w:w="0" w:type="auto"/>
        <w:tblLook w:val="04A0" w:firstRow="1" w:lastRow="0" w:firstColumn="1" w:lastColumn="0" w:noHBand="0" w:noVBand="1"/>
      </w:tblPr>
      <w:tblGrid>
        <w:gridCol w:w="13994"/>
      </w:tblGrid>
      <w:tr w:rsidR="00AF7A62" w14:paraId="03BD61B7" w14:textId="77777777" w:rsidTr="00AF7A62">
        <w:tc>
          <w:tcPr>
            <w:tcW w:w="13994" w:type="dxa"/>
          </w:tcPr>
          <w:p w14:paraId="12F9BA1B" w14:textId="0B228BC5" w:rsidR="00AF7A62" w:rsidRPr="00AF7A62" w:rsidRDefault="00AF7A62" w:rsidP="00DE1862">
            <w:pPr>
              <w:spacing w:before="240" w:after="0" w:line="240" w:lineRule="auto"/>
              <w:rPr>
                <w:lang w:val="en-US"/>
              </w:rPr>
            </w:pPr>
            <w:proofErr w:type="spellStart"/>
            <w:r w:rsidRPr="00AF7A62">
              <w:rPr>
                <w:lang w:val="en-US"/>
              </w:rPr>
              <w:t>Referência</w:t>
            </w:r>
            <w:proofErr w:type="spellEnd"/>
            <w:r w:rsidRPr="00AF7A62">
              <w:rPr>
                <w:lang w:val="en-US"/>
              </w:rPr>
              <w:t xml:space="preserve">: </w:t>
            </w:r>
            <w:bookmarkStart w:id="10" w:name="_Hlk144481030"/>
            <w:r w:rsidRPr="00AF7A62">
              <w:rPr>
                <w:lang w:val="en-US"/>
              </w:rPr>
              <w:t xml:space="preserve">KRISTJANPOLLER, Werner; OLSON, Josephine E.; SALAZAR, Rodolfo </w:t>
            </w:r>
            <w:proofErr w:type="gramStart"/>
            <w:r w:rsidRPr="00AF7A62">
              <w:rPr>
                <w:lang w:val="en-US"/>
              </w:rPr>
              <w:t>I..</w:t>
            </w:r>
            <w:proofErr w:type="gramEnd"/>
            <w:r w:rsidRPr="00AF7A62">
              <w:rPr>
                <w:lang w:val="en-US"/>
              </w:rPr>
              <w:t xml:space="preserve"> Does the commodities boom support the export led growth hypothesis? Evidence from Latin American countries. Latin American Economic Review, [S.L.], v. 25, n. 1, 20 out. 2016. Springer Science and Business Media LLC. http://dx.doi.org/10.1007/s40503-016-0036-z.</w:t>
            </w:r>
            <w:bookmarkEnd w:id="10"/>
          </w:p>
          <w:p w14:paraId="7A954507" w14:textId="4758CE98" w:rsidR="00AF7A62" w:rsidRDefault="00AF7A62" w:rsidP="00DE1862">
            <w:pPr>
              <w:spacing w:before="240" w:after="0" w:line="240" w:lineRule="auto"/>
            </w:pPr>
            <w:r>
              <w:t xml:space="preserve">Citação com autor incluído no texto: </w:t>
            </w:r>
            <w:bookmarkStart w:id="11" w:name="_Hlk144471227"/>
            <w:r>
              <w:t>Kristjanpoller, Olson e Salazar (2016)</w:t>
            </w:r>
            <w:bookmarkEnd w:id="11"/>
          </w:p>
          <w:p w14:paraId="4A0500BD" w14:textId="34FA88BE" w:rsidR="00AF7A62" w:rsidRDefault="00AF7A62" w:rsidP="00DE1862">
            <w:pPr>
              <w:spacing w:before="240"/>
            </w:pPr>
            <w:r>
              <w:t>Citação com autor não incluído no texto: (KRISTJANPOLLER; OLSON; SALAZAR, 2016)</w:t>
            </w:r>
          </w:p>
          <w:p w14:paraId="207CB8DA" w14:textId="77777777" w:rsidR="00DE1862" w:rsidRDefault="00DE1862" w:rsidP="00DE1862">
            <w:pPr>
              <w:spacing w:before="240"/>
            </w:pPr>
            <w:r w:rsidRPr="00DE1862">
              <w:t xml:space="preserve">a formação de capital e o crescimento das exportações parecem ter um efeito positivo sobre o crescimento durante todo o </w:t>
            </w:r>
            <w:proofErr w:type="gramStart"/>
            <w:r w:rsidRPr="00DE1862">
              <w:t>período de tempo</w:t>
            </w:r>
            <w:proofErr w:type="gramEnd"/>
            <w:r w:rsidRPr="00DE1862">
              <w:t xml:space="preserve">, enquanto o crescimento dos parceiros comerciais surge como um </w:t>
            </w:r>
            <w:proofErr w:type="spellStart"/>
            <w:r w:rsidRPr="00DE1862">
              <w:t>factor</w:t>
            </w:r>
            <w:proofErr w:type="spellEnd"/>
            <w:r w:rsidRPr="00DE1862">
              <w:t xml:space="preserve"> globalmente importante durante o período de expansão.</w:t>
            </w:r>
          </w:p>
          <w:p w14:paraId="524D8A3F" w14:textId="1841B692" w:rsidR="00DE1862" w:rsidRDefault="00DE1862" w:rsidP="00DE1862">
            <w:pPr>
              <w:spacing w:before="240"/>
            </w:pPr>
            <w:r w:rsidRPr="00DE1862">
              <w:t xml:space="preserve">Os resultados mostram que as exportações de minérios e minerais, as exportações de combustíveis e as exportações de alimentos tiveram geralmente um efeito negativo no crescimento do PIB per capita, mas as exportações de minérios e minerais tiveram um efeito positivo nos países da ALC durante o boom. Crescimento liderado pelas </w:t>
            </w:r>
            <w:proofErr w:type="gramStart"/>
            <w:r w:rsidRPr="00DE1862">
              <w:t>exportações Durante</w:t>
            </w:r>
            <w:proofErr w:type="gramEnd"/>
            <w:r w:rsidRPr="00DE1862">
              <w:t xml:space="preserve"> o período de expansão, as exportações agrícolas tiveram efeitos negativos, especialmente para os </w:t>
            </w:r>
            <w:r w:rsidRPr="00DE1862">
              <w:lastRenderedPageBreak/>
              <w:t>países da ALC. As exportações de combustíveis tiveram um efeito positivo nos países da ALC e de fora da ALC durante o boom. As exportações de produtos industriais em geral tiveram um efeito positivo sobre o crescimento económico, mas no período de expansão este efeito quase desapareceu para os países da ALC.</w:t>
            </w:r>
          </w:p>
        </w:tc>
      </w:tr>
    </w:tbl>
    <w:p w14:paraId="3F5B194B" w14:textId="77777777" w:rsidR="003755EC" w:rsidRDefault="003755EC"/>
    <w:p w14:paraId="70D7EC8C" w14:textId="77777777" w:rsidR="00DE1862" w:rsidRPr="006E6ECC" w:rsidRDefault="00DE1862"/>
    <w:sectPr w:rsidR="00DE1862" w:rsidRPr="006E6ECC" w:rsidSect="008916BF">
      <w:pgSz w:w="16838" w:h="11906"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6BF"/>
    <w:rsid w:val="000261B2"/>
    <w:rsid w:val="00167E99"/>
    <w:rsid w:val="00181390"/>
    <w:rsid w:val="002150EF"/>
    <w:rsid w:val="002E022A"/>
    <w:rsid w:val="003755EC"/>
    <w:rsid w:val="003A7E50"/>
    <w:rsid w:val="003E6B90"/>
    <w:rsid w:val="005F23CD"/>
    <w:rsid w:val="006E6ECC"/>
    <w:rsid w:val="00744E6E"/>
    <w:rsid w:val="008916BF"/>
    <w:rsid w:val="00920FD7"/>
    <w:rsid w:val="00AF7A62"/>
    <w:rsid w:val="00D1673C"/>
    <w:rsid w:val="00DE1862"/>
    <w:rsid w:val="00E002B7"/>
    <w:rsid w:val="00EB5B5B"/>
    <w:rsid w:val="00EE52A8"/>
    <w:rsid w:val="00F30989"/>
    <w:rsid w:val="00F423E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5CF16"/>
  <w15:chartTrackingRefBased/>
  <w15:docId w15:val="{211BD5AD-4794-494E-903B-6970B7953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8916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E002B7"/>
    <w:rPr>
      <w:color w:val="0563C1" w:themeColor="hyperlink"/>
      <w:u w:val="single"/>
    </w:rPr>
  </w:style>
  <w:style w:type="character" w:styleId="MenoPendente">
    <w:name w:val="Unresolved Mention"/>
    <w:basedOn w:val="Fontepargpadro"/>
    <w:uiPriority w:val="99"/>
    <w:semiHidden/>
    <w:unhideWhenUsed/>
    <w:rsid w:val="00E002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dx.doi.org/10.1080/14697688.2013.769689" TargetMode="External"/><Relationship Id="rId4" Type="http://schemas.openxmlformats.org/officeDocument/2006/relationships/hyperlink" Target="http://dx.doi.org/10.2139/ssrn.301994"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1116</TotalTime>
  <Pages>5</Pages>
  <Words>1395</Words>
  <Characters>7535</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Souza</dc:creator>
  <cp:keywords/>
  <dc:description/>
  <cp:lastModifiedBy>Lucas Souza</cp:lastModifiedBy>
  <cp:revision>6</cp:revision>
  <dcterms:created xsi:type="dcterms:W3CDTF">2023-08-31T22:51:00Z</dcterms:created>
  <dcterms:modified xsi:type="dcterms:W3CDTF">2023-09-01T20:23:00Z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0-bc88714345d2_Enabled">
    <vt:lpwstr>true</vt:lpwstr>
  </property>
  <property fmtid="{D5CDD505-2E9C-101B-9397-08002B2CF9AE}" pid="3" name="MSIP_Label_defa4170-0d19-0005-0000-bc88714345d2_SetDate">
    <vt:lpwstr>2023-08-31T22:54:58Z</vt:lpwstr>
  </property>
  <property fmtid="{D5CDD505-2E9C-101B-9397-08002B2CF9AE}" pid="4" name="MSIP_Label_defa4170-0d19-0005-0000-bc88714345d2_Method">
    <vt:lpwstr>Privileged</vt:lpwstr>
  </property>
  <property fmtid="{D5CDD505-2E9C-101B-9397-08002B2CF9AE}" pid="5" name="MSIP_Label_defa4170-0d19-0005-0000-bc88714345d2_Name">
    <vt:lpwstr>defa4170-0d19-0005-0000-bc88714345d2</vt:lpwstr>
  </property>
  <property fmtid="{D5CDD505-2E9C-101B-9397-08002B2CF9AE}" pid="6" name="MSIP_Label_defa4170-0d19-0005-0000-bc88714345d2_SiteId">
    <vt:lpwstr>311eec01-a8a0-46a2-979e-f149d59e5649</vt:lpwstr>
  </property>
  <property fmtid="{D5CDD505-2E9C-101B-9397-08002B2CF9AE}" pid="7" name="MSIP_Label_defa4170-0d19-0005-0000-bc88714345d2_ActionId">
    <vt:lpwstr>296e6153-e828-42e2-b1bc-66b02bad4865</vt:lpwstr>
  </property>
  <property fmtid="{D5CDD505-2E9C-101B-9397-08002B2CF9AE}" pid="8" name="MSIP_Label_defa4170-0d19-0005-0000-bc88714345d2_ContentBits">
    <vt:lpwstr>0</vt:lpwstr>
  </property>
</Properties>
</file>