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left"/>
      </w:pPr>
      <w:r>
        <w:rPr>
          <w:rFonts w:ascii="Aptos" w:hAnsi="Aptos"/>
          <w:b/>
          <w:i w:val="0"/>
          <w:color w:val="131B2E"/>
          <w:sz w:val="54"/>
        </w:rPr>
        <w:t>Manual de Configuração do PandaBio</w:t>
      </w:r>
    </w:p>
    <w:p>
      <w:pPr>
        <w:spacing w:after="280" w:line="269" w:lineRule="auto"/>
      </w:pPr>
      <w:r>
        <w:rPr>
          <w:rFonts w:ascii="Aptos" w:hAnsi="Aptos"/>
          <w:b/>
          <w:i w:val="0"/>
          <w:color w:val="FF6600"/>
          <w:sz w:val="28"/>
        </w:rPr>
        <w:t>Domínio personalizado e integrações</w:t>
      </w:r>
    </w:p>
    <w:tbl>
      <w:tblPr>
        <w:tblW w:type="auto" w:w="0"/>
        <w:jc w:val="center"/>
        <w:tblLook w:firstColumn="1" w:firstRow="1" w:lastColumn="0" w:lastRow="0" w:noHBand="0" w:noVBand="1" w:val="04A0"/>
      </w:tblPr>
      <w:tblGrid>
        <w:gridCol w:w="10166"/>
      </w:tblGrid>
      <w:tr>
        <w:tc>
          <w:tcPr>
            <w:tcW w:type="dxa" w:w="10166"/>
            <w:shd w:fill="FFF3E6"/>
            <w:tcBorders>
              <w:top w:val="single" w:sz="12" w:space="0" w:color="FF6600"/>
              <w:left w:val="single" w:sz="12" w:space="0" w:color="FF6600"/>
              <w:bottom w:val="single" w:sz="12" w:space="0" w:color="FF6600"/>
              <w:right w:val="single" w:sz="12" w:space="0" w:color="FF6600"/>
              <w:insideH w:val="single" w:sz="12" w:space="0" w:color="FF6600"/>
              <w:insideV w:val="single" w:sz="12" w:space="0" w:color="FF6600"/>
            </w:tcBorders>
            <w:tcMar>
              <w:top w:w="150" w:type="dxa"/>
              <w:start w:w="180" w:type="dxa"/>
              <w:bottom w:w="150" w:type="dxa"/>
              <w:end w:w="180" w:type="dxa"/>
            </w:tcMar>
          </w:tcPr>
          <w:p>
            <w:pPr>
              <w:spacing w:after="60" w:line="269" w:lineRule="auto"/>
            </w:pPr>
            <w:r>
              <w:rPr>
                <w:rFonts w:ascii="Aptos" w:hAnsi="Aptos"/>
                <w:b/>
                <w:i w:val="0"/>
                <w:color w:val="FF6600"/>
                <w:sz w:val="21"/>
              </w:rPr>
              <w:t>Objetivo deste manual</w:t>
            </w:r>
          </w:p>
          <w:p>
            <w:pPr>
              <w:spacing w:after="0" w:line="269" w:lineRule="auto"/>
            </w:pPr>
            <w:r>
              <w:rPr>
                <w:rFonts w:ascii="Aptos" w:hAnsi="Aptos"/>
                <w:b w:val="0"/>
                <w:i w:val="0"/>
                <w:color w:val="131B2E"/>
                <w:sz w:val="19"/>
              </w:rPr>
              <w:t>Este documento explica como configurar a seção Configurações do PandaBio, conectar um domínio próprio e preencher as integrações disponíveis. Também separa o que já está persistido no perfil do que ainda depende de uma camada de runtime ou verificação DNS.</w:t>
            </w:r>
          </w:p>
        </w:tc>
      </w:tr>
    </w:tbl>
    <w:p>
      <w:pPr>
        <w:spacing w:after="0"/>
      </w:pPr>
    </w:p>
    <w:p>
      <w:pPr>
        <w:pStyle w:val="Heading1"/>
        <w:keepNext/>
        <w:spacing w:after="140" w:line="240" w:lineRule="auto"/>
      </w:pPr>
      <w:r>
        <w:rPr>
          <w:rFonts w:ascii="Aptos" w:hAnsi="Aptos"/>
          <w:b/>
          <w:i w:val="0"/>
          <w:color w:val="131B2E"/>
          <w:sz w:val="32"/>
        </w:rPr>
        <w:t>Resumo rápido</w:t>
      </w:r>
    </w:p>
    <w:p>
      <w:pPr>
        <w:pStyle w:val="ListBullet"/>
        <w:spacing w:after="60" w:line="269" w:lineRule="auto"/>
      </w:pPr>
      <w:r>
        <w:rPr>
          <w:rFonts w:ascii="Aptos" w:hAnsi="Aptos"/>
          <w:b w:val="0"/>
          <w:i w:val="0"/>
          <w:color w:val="131B2E"/>
          <w:sz w:val="21"/>
        </w:rPr>
        <w:t>Teste da seção concluído: 13 arquivos de teste, 55 testes aprovados.</w:t>
      </w:r>
    </w:p>
    <w:p>
      <w:pPr>
        <w:pStyle w:val="ListBullet"/>
        <w:spacing w:after="60" w:line="269" w:lineRule="auto"/>
      </w:pPr>
      <w:r>
        <w:rPr>
          <w:rFonts w:ascii="Aptos" w:hAnsi="Aptos"/>
          <w:b w:val="0"/>
          <w:i w:val="0"/>
          <w:color w:val="131B2E"/>
          <w:sz w:val="21"/>
        </w:rPr>
        <w:t>Teste específico de Configurações concluído: 3 testes aprovados.</w:t>
      </w:r>
    </w:p>
    <w:p>
      <w:pPr>
        <w:pStyle w:val="ListBullet"/>
        <w:spacing w:after="60" w:line="269" w:lineRule="auto"/>
      </w:pPr>
      <w:r>
        <w:rPr>
          <w:rFonts w:ascii="Aptos" w:hAnsi="Aptos"/>
          <w:b w:val="0"/>
          <w:i w:val="0"/>
          <w:color w:val="131B2E"/>
          <w:sz w:val="21"/>
        </w:rPr>
        <w:t>Domínio personalizado é salvo no perfil Supabase após aplicação da migration.</w:t>
      </w:r>
    </w:p>
    <w:p>
      <w:pPr>
        <w:pStyle w:val="ListBullet"/>
        <w:spacing w:after="60" w:line="269" w:lineRule="auto"/>
      </w:pPr>
      <w:r>
        <w:rPr>
          <w:rFonts w:ascii="Aptos" w:hAnsi="Aptos"/>
          <w:b w:val="0"/>
          <w:i w:val="0"/>
          <w:color w:val="131B2E"/>
          <w:sz w:val="21"/>
        </w:rPr>
        <w:t>Integrações aparecem e são salvas nas preferências locais do navegador; ainda precisam ser conectadas ao runtime para executar rastreamento e webhooks.</w:t>
      </w:r>
    </w:p>
    <w:p>
      <w:pPr>
        <w:pStyle w:val="ListBullet"/>
        <w:spacing w:after="60" w:line="269" w:lineRule="auto"/>
      </w:pPr>
      <w:r>
        <w:rPr>
          <w:rFonts w:ascii="Aptos" w:hAnsi="Aptos"/>
          <w:b w:val="0"/>
          <w:i w:val="0"/>
          <w:color w:val="131B2E"/>
          <w:sz w:val="21"/>
        </w:rPr>
        <w:t>O destino CNAME deve ser definido por VITE_CUSTOM_DOMAIN_TARGET no ambiente de deploy.</w:t>
      </w:r>
    </w:p>
    <w:p>
      <w:pPr>
        <w:pStyle w:val="Heading1"/>
        <w:keepNext/>
        <w:spacing w:after="140" w:line="240" w:lineRule="auto"/>
      </w:pPr>
      <w:r>
        <w:rPr>
          <w:rFonts w:ascii="Aptos" w:hAnsi="Aptos"/>
          <w:b/>
          <w:i w:val="0"/>
          <w:color w:val="131B2E"/>
          <w:sz w:val="32"/>
        </w:rPr>
        <w:t>Pré requisitos</w:t>
      </w:r>
    </w:p>
    <w:p>
      <w:pPr>
        <w:pStyle w:val="ListNumber"/>
        <w:spacing w:after="80" w:line="269" w:lineRule="auto"/>
      </w:pPr>
      <w:r>
        <w:rPr>
          <w:rFonts w:ascii="Aptos" w:hAnsi="Aptos"/>
          <w:b w:val="0"/>
          <w:i w:val="0"/>
          <w:color w:val="131B2E"/>
          <w:sz w:val="21"/>
        </w:rPr>
        <w:t>Acesse o painel PandaBio com uma conta autenticada.</w:t>
      </w:r>
    </w:p>
    <w:p>
      <w:pPr>
        <w:pStyle w:val="ListNumber"/>
        <w:spacing w:after="80" w:line="269" w:lineRule="auto"/>
      </w:pPr>
      <w:r>
        <w:rPr>
          <w:rFonts w:ascii="Aptos" w:hAnsi="Aptos"/>
          <w:b w:val="0"/>
          <w:i w:val="0"/>
          <w:color w:val="131B2E"/>
          <w:sz w:val="21"/>
        </w:rPr>
        <w:t>Tenha acesso ao painel DNS do registrador ou provedor do domínio.</w:t>
      </w:r>
    </w:p>
    <w:p>
      <w:pPr>
        <w:pStyle w:val="ListNumber"/>
        <w:spacing w:after="80" w:line="269" w:lineRule="auto"/>
      </w:pPr>
      <w:r>
        <w:rPr>
          <w:rFonts w:ascii="Aptos" w:hAnsi="Aptos"/>
          <w:b w:val="0"/>
          <w:i w:val="0"/>
          <w:color w:val="131B2E"/>
          <w:sz w:val="21"/>
        </w:rPr>
        <w:t>Tenha o projeto Supabase configurado e aplique a migration de domínio.</w:t>
      </w:r>
    </w:p>
    <w:p>
      <w:pPr>
        <w:pStyle w:val="ListNumber"/>
        <w:spacing w:after="80" w:line="269" w:lineRule="auto"/>
      </w:pPr>
      <w:r>
        <w:rPr>
          <w:rFonts w:ascii="Aptos" w:hAnsi="Aptos"/>
          <w:b w:val="0"/>
          <w:i w:val="0"/>
          <w:color w:val="131B2E"/>
          <w:sz w:val="21"/>
        </w:rPr>
        <w:t>Para integrações, tenha os IDs oficiais do Google Analytics e Meta Pixel, além de um endpoint HTTPS para webhook.</w:t>
      </w:r>
    </w:p>
    <w:p>
      <w:pPr>
        <w:pStyle w:val="Heading1"/>
        <w:keepNext/>
        <w:spacing w:after="140" w:line="240" w:lineRule="auto"/>
      </w:pPr>
      <w:r>
        <w:rPr>
          <w:rFonts w:ascii="Aptos" w:hAnsi="Aptos"/>
          <w:b/>
          <w:i w:val="0"/>
          <w:color w:val="131B2E"/>
          <w:sz w:val="32"/>
        </w:rPr>
        <w:t>Aplicação do banco</w:t>
      </w:r>
    </w:p>
    <w:p>
      <w:pPr>
        <w:spacing w:after="140" w:line="269" w:lineRule="auto"/>
      </w:pPr>
      <w:r>
        <w:rPr>
          <w:rFonts w:ascii="Aptos" w:hAnsi="Aptos"/>
          <w:b w:val="0"/>
          <w:i w:val="0"/>
          <w:color w:val="131B2E"/>
          <w:sz w:val="21"/>
        </w:rPr>
        <w:t>Antes de salvar um domínio com Supabase ativo, aplique a migration que adiciona custom_domain e custom_domain_verified na tabela profiles.</w:t>
      </w:r>
    </w:p>
    <w:p>
      <w:pPr>
        <w:keepLines/>
        <w:spacing w:before="60" w:after="140"/>
        <w:ind w:left="288" w:right="288"/>
        <w:shd w:fill="F2F3F7"/>
      </w:pPr>
      <w:r>
        <w:rPr>
          <w:rFonts w:ascii="Consolas" w:hAnsi="Consolas"/>
          <w:color w:val="131B2E"/>
          <w:sz w:val="18"/>
        </w:rPr>
        <w:t>src/database/2026100101_custom_domain_settings.sql</w:t>
      </w:r>
    </w:p>
    <w:p>
      <w:pPr>
        <w:spacing w:after="140" w:line="269" w:lineRule="auto"/>
      </w:pPr>
      <w:r>
        <w:rPr>
          <w:rFonts w:ascii="Aptos" w:hAnsi="Aptos"/>
          <w:b w:val="0"/>
          <w:i w:val="0"/>
          <w:color w:val="131B2E"/>
          <w:sz w:val="21"/>
        </w:rPr>
        <w:t>Depois, configure o destino CNAME usado pelo seu ambiente. O valor precisa ser o hostname fornecido pela infraestrutura que recebe domínios personalizados.</w:t>
      </w:r>
    </w:p>
    <w:p>
      <w:pPr>
        <w:keepLines/>
        <w:spacing w:before="60" w:after="140"/>
        <w:ind w:left="288" w:right="288"/>
        <w:shd w:fill="F2F3F7"/>
      </w:pPr>
      <w:r>
        <w:rPr>
          <w:rFonts w:ascii="Consolas" w:hAnsi="Consolas"/>
          <w:color w:val="131B2E"/>
          <w:sz w:val="18"/>
        </w:rPr>
        <w:t>VITE_CUSTOM_DOMAIN_TARGET="seu-destino-cname.example.com"</w:t>
      </w:r>
    </w:p>
    <w:p>
      <w:pPr>
        <w:spacing w:after="140" w:line="269" w:lineRule="auto"/>
      </w:pPr>
      <w:r>
        <w:rPr>
          <w:rFonts w:ascii="Aptos" w:hAnsi="Aptos"/>
          <w:b w:val="0"/>
          <w:i w:val="0"/>
          <w:color w:val="131B2E"/>
          <w:sz w:val="21"/>
        </w:rPr>
        <w:t>Reinicie o servidor Vite ou faça novo deploy depois de alterar variáveis VITE_*. O Vite injeta essas variáveis durante o build.</w:t>
      </w:r>
    </w:p>
    <w:p>
      <w:r>
        <w:br w:type="page"/>
      </w:r>
    </w:p>
    <w:p>
      <w:pPr>
        <w:pStyle w:val="Heading1"/>
        <w:keepNext/>
        <w:spacing w:after="140" w:line="240" w:lineRule="auto"/>
      </w:pPr>
      <w:r>
        <w:rPr>
          <w:rFonts w:ascii="Aptos" w:hAnsi="Aptos"/>
          <w:b/>
          <w:i w:val="0"/>
          <w:color w:val="131B2E"/>
          <w:sz w:val="32"/>
        </w:rPr>
        <w:t>Domínio personalizado</w:t>
      </w:r>
    </w:p>
    <w:p>
      <w:pPr>
        <w:spacing w:after="140" w:line="269" w:lineRule="auto"/>
      </w:pPr>
      <w:r>
        <w:rPr>
          <w:rFonts w:ascii="Aptos" w:hAnsi="Aptos"/>
          <w:b w:val="0"/>
          <w:i w:val="0"/>
          <w:color w:val="131B2E"/>
          <w:sz w:val="21"/>
        </w:rPr>
        <w:t>O recurso permite trocar o endereço padrão da página por um domínio da sua marca. O PandaBio normaliza entradas com https://, www e caminhos, mas o valor salvo deve ser somente o hostname, como suaempresa.com.br.</w:t>
      </w:r>
    </w:p>
    <w:p>
      <w:pPr>
        <w:pStyle w:val="Heading2"/>
        <w:keepNext/>
        <w:spacing w:after="80" w:line="240" w:lineRule="auto"/>
      </w:pPr>
      <w:r>
        <w:rPr>
          <w:rFonts w:ascii="Aptos" w:hAnsi="Aptos"/>
          <w:b/>
          <w:i w:val="0"/>
          <w:color w:val="131B2E"/>
          <w:sz w:val="24"/>
        </w:rPr>
        <w:t>Configuração no painel</w:t>
      </w:r>
    </w:p>
    <w:p>
      <w:pPr>
        <w:pStyle w:val="ListNumber"/>
        <w:spacing w:after="80" w:line="269" w:lineRule="auto"/>
      </w:pPr>
      <w:r>
        <w:rPr>
          <w:rFonts w:ascii="Aptos" w:hAnsi="Aptos"/>
          <w:b w:val="0"/>
          <w:i w:val="0"/>
          <w:color w:val="131B2E"/>
          <w:sz w:val="21"/>
        </w:rPr>
        <w:t>Abra Configurações no menu lateral.</w:t>
      </w:r>
    </w:p>
    <w:p>
      <w:pPr>
        <w:pStyle w:val="ListNumber"/>
        <w:spacing w:after="80" w:line="269" w:lineRule="auto"/>
      </w:pPr>
      <w:r>
        <w:rPr>
          <w:rFonts w:ascii="Aptos" w:hAnsi="Aptos"/>
          <w:b w:val="0"/>
          <w:i w:val="0"/>
          <w:color w:val="131B2E"/>
          <w:sz w:val="21"/>
        </w:rPr>
        <w:t>Selecione Domínio.</w:t>
      </w:r>
    </w:p>
    <w:p>
      <w:pPr>
        <w:pStyle w:val="ListNumber"/>
        <w:spacing w:after="80" w:line="269" w:lineRule="auto"/>
      </w:pPr>
      <w:r>
        <w:rPr>
          <w:rFonts w:ascii="Aptos" w:hAnsi="Aptos"/>
          <w:b w:val="0"/>
          <w:i w:val="0"/>
          <w:color w:val="131B2E"/>
          <w:sz w:val="21"/>
        </w:rPr>
        <w:t>Digite o domínio sem protocolo, sem www e sem caminho. Exemplo: suaempresa.com.br.</w:t>
      </w:r>
    </w:p>
    <w:p>
      <w:pPr>
        <w:pStyle w:val="ListNumber"/>
        <w:spacing w:after="80" w:line="269" w:lineRule="auto"/>
      </w:pPr>
      <w:r>
        <w:rPr>
          <w:rFonts w:ascii="Aptos" w:hAnsi="Aptos"/>
          <w:b w:val="0"/>
          <w:i w:val="0"/>
          <w:color w:val="131B2E"/>
          <w:sz w:val="21"/>
        </w:rPr>
        <w:t>Clique em Salvar domínio. O perfil é atualizado e o status passa para Aguardando DNS.</w:t>
      </w:r>
    </w:p>
    <w:p>
      <w:pPr>
        <w:pStyle w:val="ListNumber"/>
        <w:spacing w:after="80" w:line="269" w:lineRule="auto"/>
      </w:pPr>
      <w:r>
        <w:rPr>
          <w:rFonts w:ascii="Aptos" w:hAnsi="Aptos"/>
          <w:b w:val="0"/>
          <w:i w:val="0"/>
          <w:color w:val="131B2E"/>
          <w:sz w:val="21"/>
        </w:rPr>
        <w:t>Configure o registro DNS indicado e aguarde a propagação.</w:t>
      </w:r>
    </w:p>
    <w:p>
      <w:pPr>
        <w:pStyle w:val="ListNumber"/>
        <w:spacing w:after="80" w:line="269" w:lineRule="auto"/>
      </w:pPr>
      <w:r>
        <w:rPr>
          <w:rFonts w:ascii="Aptos" w:hAnsi="Aptos"/>
          <w:b w:val="0"/>
          <w:i w:val="0"/>
          <w:color w:val="131B2E"/>
          <w:sz w:val="21"/>
        </w:rPr>
        <w:t>Clique em Verificar conexão. O status só deve ser Conectado quando a camada de verificação confirmar o DNS.</w:t>
      </w:r>
    </w:p>
    <w:p>
      <w:pPr>
        <w:pStyle w:val="Heading2"/>
        <w:keepNext/>
        <w:spacing w:after="80" w:line="240" w:lineRule="auto"/>
      </w:pPr>
      <w:r>
        <w:rPr>
          <w:rFonts w:ascii="Aptos" w:hAnsi="Aptos"/>
          <w:b/>
          <w:i w:val="0"/>
          <w:color w:val="131B2E"/>
          <w:sz w:val="24"/>
        </w:rPr>
        <w:t>Registro DNS</w:t>
      </w:r>
    </w:p>
    <w:tbl>
      <w:tblPr>
        <w:tblStyle w:val="TableGrid"/>
        <w:tblW w:type="auto" w:w="0"/>
        <w:jc w:val="center"/>
        <w:tblLook w:firstColumn="1" w:firstRow="1" w:lastColumn="0" w:lastRow="0" w:noHBand="0" w:noVBand="1" w:val="04A0"/>
      </w:tblPr>
      <w:tblGrid>
        <w:gridCol w:w="3389"/>
        <w:gridCol w:w="3389"/>
        <w:gridCol w:w="3389"/>
      </w:tblGrid>
      <w:tr>
        <w:tc>
          <w:tcPr>
            <w:tcW w:type="dxa" w:w="1584"/>
            <w:shd w:fill="131B2E"/>
            <w:tcBorders>
              <w:top w:val="single" w:sz="6" w:space="0" w:color="131B2E"/>
              <w:left w:val="single" w:sz="6" w:space="0" w:color="131B2E"/>
              <w:bottom w:val="single" w:sz="6" w:space="0" w:color="131B2E"/>
              <w:right w:val="single" w:sz="6" w:space="0" w:color="131B2E"/>
              <w:insideH w:val="single" w:sz="6" w:space="0" w:color="131B2E"/>
              <w:insideV w:val="single" w:sz="6" w:space="0" w:color="131B2E"/>
            </w:tcBorders>
            <w:tcMar>
              <w:top w:w="110" w:type="dxa"/>
              <w:start w:w="120" w:type="dxa"/>
              <w:bottom w:w="110" w:type="dxa"/>
              <w:end w:w="120" w:type="dxa"/>
            </w:tcMar>
            <w:vAlign w:val="center"/>
          </w:tcPr>
          <w:p>
            <w:pPr>
              <w:spacing w:after="0" w:line="240" w:lineRule="auto"/>
            </w:pPr>
            <w:r>
              <w:rPr>
                <w:rFonts w:ascii="Aptos" w:hAnsi="Aptos"/>
                <w:b/>
                <w:i w:val="0"/>
                <w:color w:val="FFFFFF"/>
                <w:sz w:val="18"/>
              </w:rPr>
              <w:t>Campo</w:t>
            </w:r>
          </w:p>
        </w:tc>
        <w:tc>
          <w:tcPr>
            <w:tcW w:type="dxa" w:w="3168"/>
            <w:shd w:fill="131B2E"/>
            <w:tcBorders>
              <w:top w:val="single" w:sz="6" w:space="0" w:color="131B2E"/>
              <w:left w:val="single" w:sz="6" w:space="0" w:color="131B2E"/>
              <w:bottom w:val="single" w:sz="6" w:space="0" w:color="131B2E"/>
              <w:right w:val="single" w:sz="6" w:space="0" w:color="131B2E"/>
              <w:insideH w:val="single" w:sz="6" w:space="0" w:color="131B2E"/>
              <w:insideV w:val="single" w:sz="6" w:space="0" w:color="131B2E"/>
            </w:tcBorders>
            <w:tcMar>
              <w:top w:w="110" w:type="dxa"/>
              <w:start w:w="120" w:type="dxa"/>
              <w:bottom w:w="110" w:type="dxa"/>
              <w:end w:w="120" w:type="dxa"/>
            </w:tcMar>
            <w:vAlign w:val="center"/>
          </w:tcPr>
          <w:p>
            <w:pPr>
              <w:spacing w:after="0" w:line="240" w:lineRule="auto"/>
            </w:pPr>
            <w:r>
              <w:rPr>
                <w:rFonts w:ascii="Aptos" w:hAnsi="Aptos"/>
                <w:b/>
                <w:i w:val="0"/>
                <w:color w:val="FFFFFF"/>
                <w:sz w:val="18"/>
              </w:rPr>
              <w:t>Valor</w:t>
            </w:r>
          </w:p>
        </w:tc>
        <w:tc>
          <w:tcPr>
            <w:tcW w:type="dxa" w:w="5472"/>
            <w:shd w:fill="131B2E"/>
            <w:tcBorders>
              <w:top w:val="single" w:sz="6" w:space="0" w:color="131B2E"/>
              <w:left w:val="single" w:sz="6" w:space="0" w:color="131B2E"/>
              <w:bottom w:val="single" w:sz="6" w:space="0" w:color="131B2E"/>
              <w:right w:val="single" w:sz="6" w:space="0" w:color="131B2E"/>
              <w:insideH w:val="single" w:sz="6" w:space="0" w:color="131B2E"/>
              <w:insideV w:val="single" w:sz="6" w:space="0" w:color="131B2E"/>
            </w:tcBorders>
            <w:tcMar>
              <w:top w:w="110" w:type="dxa"/>
              <w:start w:w="120" w:type="dxa"/>
              <w:bottom w:w="110" w:type="dxa"/>
              <w:end w:w="120" w:type="dxa"/>
            </w:tcMar>
            <w:vAlign w:val="center"/>
          </w:tcPr>
          <w:p>
            <w:pPr>
              <w:spacing w:after="0" w:line="240" w:lineRule="auto"/>
            </w:pPr>
            <w:r>
              <w:rPr>
                <w:rFonts w:ascii="Aptos" w:hAnsi="Aptos"/>
                <w:b/>
                <w:i w:val="0"/>
                <w:color w:val="FFFFFF"/>
                <w:sz w:val="18"/>
              </w:rPr>
              <w:t>Observação</w:t>
            </w:r>
          </w:p>
        </w:tc>
      </w:tr>
      <w:tr>
        <w:tc>
          <w:tcPr>
            <w:tcW w:type="dxa" w:w="1584"/>
            <w:shd w:fill="FFFF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Tipo</w:t>
            </w:r>
          </w:p>
        </w:tc>
        <w:tc>
          <w:tcPr>
            <w:tcW w:type="dxa" w:w="3168"/>
            <w:shd w:fill="FFFF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CNAME</w:t>
            </w:r>
          </w:p>
        </w:tc>
        <w:tc>
          <w:tcPr>
            <w:tcW w:type="dxa" w:w="5472"/>
            <w:shd w:fill="FFFF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Use CNAME para subdomínios, normalmente www.</w:t>
            </w:r>
          </w:p>
        </w:tc>
      </w:tr>
      <w:tr>
        <w:tc>
          <w:tcPr>
            <w:tcW w:type="dxa" w:w="1584"/>
            <w:shd w:fill="FAF8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Nome</w:t>
            </w:r>
          </w:p>
        </w:tc>
        <w:tc>
          <w:tcPr>
            <w:tcW w:type="dxa" w:w="3168"/>
            <w:shd w:fill="FAF8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www</w:t>
            </w:r>
          </w:p>
        </w:tc>
        <w:tc>
          <w:tcPr>
            <w:tcW w:type="dxa" w:w="5472"/>
            <w:shd w:fill="FAF8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Alguns provedores usam apenas o prefixo ou o domínio completo.</w:t>
            </w:r>
          </w:p>
        </w:tc>
      </w:tr>
      <w:tr>
        <w:tc>
          <w:tcPr>
            <w:tcW w:type="dxa" w:w="1584"/>
            <w:shd w:fill="FFFF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Destino</w:t>
            </w:r>
          </w:p>
        </w:tc>
        <w:tc>
          <w:tcPr>
            <w:tcW w:type="dxa" w:w="3168"/>
            <w:shd w:fill="FFFF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VITE_CUSTOM_DOMAIN_TARGET</w:t>
            </w:r>
          </w:p>
        </w:tc>
        <w:tc>
          <w:tcPr>
            <w:tcW w:type="dxa" w:w="5472"/>
            <w:shd w:fill="FFFF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Use o valor real definido no ambiente de deploy.</w:t>
            </w:r>
          </w:p>
        </w:tc>
      </w:tr>
      <w:tr>
        <w:tc>
          <w:tcPr>
            <w:tcW w:type="dxa" w:w="1584"/>
            <w:shd w:fill="FAF8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TTL</w:t>
            </w:r>
          </w:p>
        </w:tc>
        <w:tc>
          <w:tcPr>
            <w:tcW w:type="dxa" w:w="3168"/>
            <w:shd w:fill="FAF8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Automático</w:t>
            </w:r>
          </w:p>
        </w:tc>
        <w:tc>
          <w:tcPr>
            <w:tcW w:type="dxa" w:w="5472"/>
            <w:shd w:fill="FAF8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Aguarde a propagação antes de verificar.</w:t>
            </w:r>
          </w:p>
        </w:tc>
      </w:tr>
    </w:tbl>
    <w:p>
      <w:pPr>
        <w:spacing w:after="0"/>
      </w:pPr>
    </w:p>
    <w:tbl>
      <w:tblPr>
        <w:tblW w:type="auto" w:w="0"/>
        <w:jc w:val="center"/>
        <w:tblLook w:firstColumn="1" w:firstRow="1" w:lastColumn="0" w:lastRow="0" w:noHBand="0" w:noVBand="1" w:val="04A0"/>
      </w:tblPr>
      <w:tblGrid>
        <w:gridCol w:w="10166"/>
      </w:tblGrid>
      <w:tr>
        <w:tc>
          <w:tcPr>
            <w:tcW w:type="dxa" w:w="10166"/>
            <w:shd w:fill="FFF7F7"/>
            <w:tcBorders>
              <w:top w:val="single" w:sz="12" w:space="0" w:color="9B1C1C"/>
              <w:left w:val="single" w:sz="12" w:space="0" w:color="9B1C1C"/>
              <w:bottom w:val="single" w:sz="12" w:space="0" w:color="9B1C1C"/>
              <w:right w:val="single" w:sz="12" w:space="0" w:color="9B1C1C"/>
              <w:insideH w:val="single" w:sz="12" w:space="0" w:color="9B1C1C"/>
              <w:insideV w:val="single" w:sz="12" w:space="0" w:color="9B1C1C"/>
            </w:tcBorders>
            <w:tcMar>
              <w:top w:w="150" w:type="dxa"/>
              <w:start w:w="180" w:type="dxa"/>
              <w:bottom w:w="150" w:type="dxa"/>
              <w:end w:w="180" w:type="dxa"/>
            </w:tcMar>
          </w:tcPr>
          <w:p>
            <w:pPr>
              <w:spacing w:after="60" w:line="269" w:lineRule="auto"/>
            </w:pPr>
            <w:r>
              <w:rPr>
                <w:rFonts w:ascii="Aptos" w:hAnsi="Aptos"/>
                <w:b/>
                <w:i w:val="0"/>
                <w:color w:val="9B1C1C"/>
                <w:sz w:val="21"/>
              </w:rPr>
              <w:t>Domínio raiz</w:t>
            </w:r>
          </w:p>
          <w:p>
            <w:pPr>
              <w:spacing w:after="0" w:line="269" w:lineRule="auto"/>
            </w:pPr>
            <w:r>
              <w:rPr>
                <w:rFonts w:ascii="Aptos" w:hAnsi="Aptos"/>
                <w:b w:val="0"/>
                <w:i w:val="0"/>
                <w:color w:val="131B2E"/>
                <w:sz w:val="19"/>
              </w:rPr>
              <w:t>Para um domínio raiz, como suaempresa.com.br sem www, alguns provedores não aceitam CNAME. Use ALIAS, ANAME ou CNAME flattening quando o provedor oferecer. Não mantenha registros A ou AAAA conflitantes.</w:t>
            </w:r>
          </w:p>
        </w:tc>
      </w:tr>
    </w:tbl>
    <w:p>
      <w:pPr>
        <w:spacing w:after="0"/>
      </w:pPr>
    </w:p>
    <w:p>
      <w:pPr>
        <w:pStyle w:val="Heading2"/>
        <w:keepNext/>
        <w:spacing w:after="80" w:line="240" w:lineRule="auto"/>
      </w:pPr>
      <w:r>
        <w:rPr>
          <w:rFonts w:ascii="Aptos" w:hAnsi="Aptos"/>
          <w:b/>
          <w:i w:val="0"/>
          <w:color w:val="131B2E"/>
          <w:sz w:val="24"/>
        </w:rPr>
        <w:t>Status e comportamento</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131B2E"/>
            <w:tcBorders>
              <w:top w:val="single" w:sz="6" w:space="0" w:color="131B2E"/>
              <w:left w:val="single" w:sz="6" w:space="0" w:color="131B2E"/>
              <w:bottom w:val="single" w:sz="6" w:space="0" w:color="131B2E"/>
              <w:right w:val="single" w:sz="6" w:space="0" w:color="131B2E"/>
              <w:insideH w:val="single" w:sz="6" w:space="0" w:color="131B2E"/>
              <w:insideV w:val="single" w:sz="6" w:space="0" w:color="131B2E"/>
            </w:tcBorders>
            <w:tcMar>
              <w:top w:w="110" w:type="dxa"/>
              <w:start w:w="120" w:type="dxa"/>
              <w:bottom w:w="110" w:type="dxa"/>
              <w:end w:w="120" w:type="dxa"/>
            </w:tcMar>
            <w:vAlign w:val="center"/>
          </w:tcPr>
          <w:p>
            <w:pPr>
              <w:spacing w:after="0" w:line="240" w:lineRule="auto"/>
            </w:pPr>
            <w:r>
              <w:rPr>
                <w:rFonts w:ascii="Aptos" w:hAnsi="Aptos"/>
                <w:b/>
                <w:i w:val="0"/>
                <w:color w:val="FFFFFF"/>
                <w:sz w:val="18"/>
              </w:rPr>
              <w:t>Status</w:t>
            </w:r>
          </w:p>
        </w:tc>
        <w:tc>
          <w:tcPr>
            <w:tcW w:type="dxa" w:w="4320"/>
            <w:shd w:fill="131B2E"/>
            <w:tcBorders>
              <w:top w:val="single" w:sz="6" w:space="0" w:color="131B2E"/>
              <w:left w:val="single" w:sz="6" w:space="0" w:color="131B2E"/>
              <w:bottom w:val="single" w:sz="6" w:space="0" w:color="131B2E"/>
              <w:right w:val="single" w:sz="6" w:space="0" w:color="131B2E"/>
              <w:insideH w:val="single" w:sz="6" w:space="0" w:color="131B2E"/>
              <w:insideV w:val="single" w:sz="6" w:space="0" w:color="131B2E"/>
            </w:tcBorders>
            <w:tcMar>
              <w:top w:w="110" w:type="dxa"/>
              <w:start w:w="120" w:type="dxa"/>
              <w:bottom w:w="110" w:type="dxa"/>
              <w:end w:w="120" w:type="dxa"/>
            </w:tcMar>
            <w:vAlign w:val="center"/>
          </w:tcPr>
          <w:p>
            <w:pPr>
              <w:spacing w:after="0" w:line="240" w:lineRule="auto"/>
            </w:pPr>
            <w:r>
              <w:rPr>
                <w:rFonts w:ascii="Aptos" w:hAnsi="Aptos"/>
                <w:b/>
                <w:i w:val="0"/>
                <w:color w:val="FFFFFF"/>
                <w:sz w:val="18"/>
              </w:rPr>
              <w:t>Significado</w:t>
            </w:r>
          </w:p>
        </w:tc>
        <w:tc>
          <w:tcPr>
            <w:tcW w:type="dxa" w:w="3960"/>
            <w:shd w:fill="131B2E"/>
            <w:tcBorders>
              <w:top w:val="single" w:sz="6" w:space="0" w:color="131B2E"/>
              <w:left w:val="single" w:sz="6" w:space="0" w:color="131B2E"/>
              <w:bottom w:val="single" w:sz="6" w:space="0" w:color="131B2E"/>
              <w:right w:val="single" w:sz="6" w:space="0" w:color="131B2E"/>
              <w:insideH w:val="single" w:sz="6" w:space="0" w:color="131B2E"/>
              <w:insideV w:val="single" w:sz="6" w:space="0" w:color="131B2E"/>
            </w:tcBorders>
            <w:tcMar>
              <w:top w:w="110" w:type="dxa"/>
              <w:start w:w="120" w:type="dxa"/>
              <w:bottom w:w="110" w:type="dxa"/>
              <w:end w:w="120" w:type="dxa"/>
            </w:tcMar>
            <w:vAlign w:val="center"/>
          </w:tcPr>
          <w:p>
            <w:pPr>
              <w:spacing w:after="0" w:line="240" w:lineRule="auto"/>
            </w:pPr>
            <w:r>
              <w:rPr>
                <w:rFonts w:ascii="Aptos" w:hAnsi="Aptos"/>
                <w:b/>
                <w:i w:val="0"/>
                <w:color w:val="FFFFFF"/>
                <w:sz w:val="18"/>
              </w:rPr>
              <w:t>Ação</w:t>
            </w:r>
          </w:p>
        </w:tc>
      </w:tr>
      <w:tr>
        <w:tc>
          <w:tcPr>
            <w:tcW w:type="dxa" w:w="1944"/>
            <w:shd w:fill="FFFF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Não configurado</w:t>
            </w:r>
          </w:p>
        </w:tc>
        <w:tc>
          <w:tcPr>
            <w:tcW w:type="dxa" w:w="4320"/>
            <w:shd w:fill="FFFF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Nenhum domínio salvo.</w:t>
            </w:r>
          </w:p>
        </w:tc>
        <w:tc>
          <w:tcPr>
            <w:tcW w:type="dxa" w:w="3960"/>
            <w:shd w:fill="FFFF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Informe o domínio e salve.</w:t>
            </w:r>
          </w:p>
        </w:tc>
      </w:tr>
      <w:tr>
        <w:tc>
          <w:tcPr>
            <w:tcW w:type="dxa" w:w="1944"/>
            <w:shd w:fill="FAF8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Aguardando DNS</w:t>
            </w:r>
          </w:p>
        </w:tc>
        <w:tc>
          <w:tcPr>
            <w:tcW w:type="dxa" w:w="4320"/>
            <w:shd w:fill="FAF8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Domínio salvo, mas sem confirmação de conexão.</w:t>
            </w:r>
          </w:p>
        </w:tc>
        <w:tc>
          <w:tcPr>
            <w:tcW w:type="dxa" w:w="3960"/>
            <w:shd w:fill="FAF8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Revise CNAME, aguarde propagação e verifique novamente.</w:t>
            </w:r>
          </w:p>
        </w:tc>
      </w:tr>
      <w:tr>
        <w:tc>
          <w:tcPr>
            <w:tcW w:type="dxa" w:w="1944"/>
            <w:shd w:fill="FFFF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Conectado</w:t>
            </w:r>
          </w:p>
        </w:tc>
        <w:tc>
          <w:tcPr>
            <w:tcW w:type="dxa" w:w="4320"/>
            <w:shd w:fill="FFFF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Backend marcou custom_domain_verified como true.</w:t>
            </w:r>
          </w:p>
        </w:tc>
        <w:tc>
          <w:tcPr>
            <w:tcW w:type="dxa" w:w="3960"/>
            <w:shd w:fill="FFFF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Teste acesso HTTPS e redirecionamento.</w:t>
            </w:r>
          </w:p>
        </w:tc>
      </w:tr>
    </w:tbl>
    <w:p>
      <w:pPr>
        <w:spacing w:after="0"/>
      </w:pPr>
    </w:p>
    <w:p>
      <w:pPr>
        <w:spacing w:after="140" w:line="269" w:lineRule="auto"/>
      </w:pPr>
      <w:r>
        <w:rPr>
          <w:rFonts w:ascii="Aptos" w:hAnsi="Aptos"/>
          <w:b w:val="0"/>
          <w:i w:val="0"/>
          <w:color w:val="131B2E"/>
          <w:sz w:val="21"/>
        </w:rPr>
        <w:t>A tela não marca conexão como bem-sucedida por conta própria. O botão de verificação mantém o domínio pendente até existir uma validação DNS no backend ou na infraestrutura de proxy.</w:t>
      </w:r>
    </w:p>
    <w:p>
      <w:pPr>
        <w:pStyle w:val="Heading2"/>
        <w:keepNext/>
        <w:spacing w:after="80" w:line="240" w:lineRule="auto"/>
      </w:pPr>
      <w:r>
        <w:rPr>
          <w:rFonts w:ascii="Aptos" w:hAnsi="Aptos"/>
          <w:b/>
          <w:i w:val="0"/>
          <w:color w:val="131B2E"/>
          <w:sz w:val="24"/>
        </w:rPr>
        <w:t>Remover domínio</w:t>
      </w:r>
    </w:p>
    <w:p>
      <w:pPr>
        <w:pStyle w:val="ListNumber"/>
        <w:spacing w:after="80" w:line="269" w:lineRule="auto"/>
      </w:pPr>
      <w:r>
        <w:rPr>
          <w:rFonts w:ascii="Aptos" w:hAnsi="Aptos"/>
          <w:b w:val="0"/>
          <w:i w:val="0"/>
          <w:color w:val="131B2E"/>
          <w:sz w:val="21"/>
        </w:rPr>
        <w:t>Abra Configurações e Domínio.</w:t>
      </w:r>
    </w:p>
    <w:p>
      <w:pPr>
        <w:pStyle w:val="ListNumber"/>
        <w:spacing w:after="80" w:line="269" w:lineRule="auto"/>
      </w:pPr>
      <w:r>
        <w:rPr>
          <w:rFonts w:ascii="Aptos" w:hAnsi="Aptos"/>
          <w:b w:val="0"/>
          <w:i w:val="0"/>
          <w:color w:val="131B2E"/>
          <w:sz w:val="21"/>
        </w:rPr>
        <w:t>Apague o valor do campo.</w:t>
      </w:r>
    </w:p>
    <w:p>
      <w:pPr>
        <w:pStyle w:val="ListNumber"/>
        <w:spacing w:after="80" w:line="269" w:lineRule="auto"/>
      </w:pPr>
      <w:r>
        <w:rPr>
          <w:rFonts w:ascii="Aptos" w:hAnsi="Aptos"/>
          <w:b w:val="0"/>
          <w:i w:val="0"/>
          <w:color w:val="131B2E"/>
          <w:sz w:val="21"/>
        </w:rPr>
        <w:t>Clique em Salvar domínio.</w:t>
      </w:r>
    </w:p>
    <w:p>
      <w:pPr>
        <w:pStyle w:val="ListNumber"/>
        <w:spacing w:after="80" w:line="269" w:lineRule="auto"/>
      </w:pPr>
      <w:r>
        <w:rPr>
          <w:rFonts w:ascii="Aptos" w:hAnsi="Aptos"/>
          <w:b w:val="0"/>
          <w:i w:val="0"/>
          <w:color w:val="131B2E"/>
          <w:sz w:val="21"/>
        </w:rPr>
        <w:t>Confirme que o status voltou para Não configurado.</w:t>
      </w:r>
    </w:p>
    <w:p>
      <w:pPr>
        <w:spacing w:after="140" w:line="269" w:lineRule="auto"/>
      </w:pPr>
      <w:r>
        <w:rPr>
          <w:rFonts w:ascii="Aptos" w:hAnsi="Aptos"/>
          <w:b w:val="0"/>
          <w:i w:val="0"/>
          <w:color w:val="131B2E"/>
          <w:sz w:val="21"/>
        </w:rPr>
        <w:t>A remoção grava custom_domain como nulo e redefine custom_domain_verified para false.</w:t>
      </w:r>
    </w:p>
    <w:p>
      <w:r>
        <w:br w:type="page"/>
      </w:r>
    </w:p>
    <w:p>
      <w:pPr>
        <w:pStyle w:val="Heading1"/>
        <w:keepNext/>
        <w:spacing w:after="140" w:line="240" w:lineRule="auto"/>
      </w:pPr>
      <w:r>
        <w:rPr>
          <w:rFonts w:ascii="Aptos" w:hAnsi="Aptos"/>
          <w:b/>
          <w:i w:val="0"/>
          <w:color w:val="131B2E"/>
          <w:sz w:val="32"/>
        </w:rPr>
        <w:t>Integrações</w:t>
      </w:r>
    </w:p>
    <w:p>
      <w:pPr>
        <w:spacing w:after="140" w:line="269" w:lineRule="auto"/>
      </w:pPr>
      <w:r>
        <w:rPr>
          <w:rFonts w:ascii="Aptos" w:hAnsi="Aptos"/>
          <w:b w:val="0"/>
          <w:i w:val="0"/>
          <w:color w:val="131B2E"/>
          <w:sz w:val="21"/>
        </w:rPr>
        <w:t>As integrações ficam em Configurações, Avançado, Integrações. Os campos atuais organizam as credenciais e preferências da conta. O salvamento atual é local, por usuário e navegador, até a camada de execução ser ligada a serviços de analytics e automação.</w:t>
      </w:r>
    </w:p>
    <w:p>
      <w:pPr>
        <w:pStyle w:val="Heading2"/>
        <w:keepNext/>
        <w:spacing w:after="80" w:line="240" w:lineRule="auto"/>
      </w:pPr>
      <w:r>
        <w:rPr>
          <w:rFonts w:ascii="Aptos" w:hAnsi="Aptos"/>
          <w:b/>
          <w:i w:val="0"/>
          <w:color w:val="131B2E"/>
          <w:sz w:val="24"/>
        </w:rPr>
        <w:t>Google Analytics</w:t>
      </w:r>
    </w:p>
    <w:p>
      <w:pPr>
        <w:pStyle w:val="ListNumber"/>
        <w:spacing w:after="80" w:line="269" w:lineRule="auto"/>
      </w:pPr>
      <w:r>
        <w:rPr>
          <w:rFonts w:ascii="Aptos" w:hAnsi="Aptos"/>
          <w:b w:val="0"/>
          <w:i w:val="0"/>
          <w:color w:val="131B2E"/>
          <w:sz w:val="21"/>
        </w:rPr>
        <w:t>Abra Google Analytics e crie ou selecione uma propriedade.</w:t>
      </w:r>
    </w:p>
    <w:p>
      <w:pPr>
        <w:pStyle w:val="ListNumber"/>
        <w:spacing w:after="80" w:line="269" w:lineRule="auto"/>
      </w:pPr>
      <w:r>
        <w:rPr>
          <w:rFonts w:ascii="Aptos" w:hAnsi="Aptos"/>
          <w:b w:val="0"/>
          <w:i w:val="0"/>
          <w:color w:val="131B2E"/>
          <w:sz w:val="21"/>
        </w:rPr>
        <w:t>Acesse Administrador, Fluxos de dados e selecione o fluxo Web.</w:t>
      </w:r>
    </w:p>
    <w:p>
      <w:pPr>
        <w:pStyle w:val="ListNumber"/>
        <w:spacing w:after="80" w:line="269" w:lineRule="auto"/>
      </w:pPr>
      <w:r>
        <w:rPr>
          <w:rFonts w:ascii="Aptos" w:hAnsi="Aptos"/>
          <w:b w:val="0"/>
          <w:i w:val="0"/>
          <w:color w:val="131B2E"/>
          <w:sz w:val="21"/>
        </w:rPr>
        <w:t>Copie o Measurement ID no formato G-XXXXXXXXXX.</w:t>
      </w:r>
    </w:p>
    <w:p>
      <w:pPr>
        <w:pStyle w:val="ListNumber"/>
        <w:spacing w:after="80" w:line="269" w:lineRule="auto"/>
      </w:pPr>
      <w:r>
        <w:rPr>
          <w:rFonts w:ascii="Aptos" w:hAnsi="Aptos"/>
          <w:b w:val="0"/>
          <w:i w:val="0"/>
          <w:color w:val="131B2E"/>
          <w:sz w:val="21"/>
        </w:rPr>
        <w:t>No PandaBio, abra Configurações, Avançado e Integrações.</w:t>
      </w:r>
    </w:p>
    <w:p>
      <w:pPr>
        <w:pStyle w:val="ListNumber"/>
        <w:spacing w:after="80" w:line="269" w:lineRule="auto"/>
      </w:pPr>
      <w:r>
        <w:rPr>
          <w:rFonts w:ascii="Aptos" w:hAnsi="Aptos"/>
          <w:b w:val="0"/>
          <w:i w:val="0"/>
          <w:color w:val="131B2E"/>
          <w:sz w:val="21"/>
        </w:rPr>
        <w:t>Cole o valor no campo Google Analytics e clique em Salvar alterações.</w:t>
      </w:r>
    </w:p>
    <w:p>
      <w:pPr>
        <w:spacing w:after="140" w:line="269" w:lineRule="auto"/>
      </w:pPr>
      <w:r>
        <w:rPr>
          <w:rFonts w:ascii="Aptos" w:hAnsi="Aptos"/>
          <w:b w:val="0"/>
          <w:i w:val="0"/>
          <w:color w:val="131B2E"/>
          <w:sz w:val="21"/>
        </w:rPr>
        <w:t>O ID deve ser o Measurement ID, não o ID numérico da conta ou da propriedade.</w:t>
      </w:r>
    </w:p>
    <w:p>
      <w:pPr>
        <w:pStyle w:val="Heading2"/>
        <w:keepNext/>
        <w:spacing w:after="80" w:line="240" w:lineRule="auto"/>
      </w:pPr>
      <w:r>
        <w:rPr>
          <w:rFonts w:ascii="Aptos" w:hAnsi="Aptos"/>
          <w:b/>
          <w:i w:val="0"/>
          <w:color w:val="131B2E"/>
          <w:sz w:val="24"/>
        </w:rPr>
        <w:t>Meta Pixel</w:t>
      </w:r>
    </w:p>
    <w:p>
      <w:pPr>
        <w:pStyle w:val="ListNumber"/>
        <w:spacing w:after="80" w:line="269" w:lineRule="auto"/>
      </w:pPr>
      <w:r>
        <w:rPr>
          <w:rFonts w:ascii="Aptos" w:hAnsi="Aptos"/>
          <w:b w:val="0"/>
          <w:i w:val="0"/>
          <w:color w:val="131B2E"/>
          <w:sz w:val="21"/>
        </w:rPr>
        <w:t>Abra o Meta Events Manager e selecione o Pixel correto.</w:t>
      </w:r>
    </w:p>
    <w:p>
      <w:pPr>
        <w:pStyle w:val="ListNumber"/>
        <w:spacing w:after="80" w:line="269" w:lineRule="auto"/>
      </w:pPr>
      <w:r>
        <w:rPr>
          <w:rFonts w:ascii="Aptos" w:hAnsi="Aptos"/>
          <w:b w:val="0"/>
          <w:i w:val="0"/>
          <w:color w:val="131B2E"/>
          <w:sz w:val="21"/>
        </w:rPr>
        <w:t>Copie o Pixel ID numérico.</w:t>
      </w:r>
    </w:p>
    <w:p>
      <w:pPr>
        <w:pStyle w:val="ListNumber"/>
        <w:spacing w:after="80" w:line="269" w:lineRule="auto"/>
      </w:pPr>
      <w:r>
        <w:rPr>
          <w:rFonts w:ascii="Aptos" w:hAnsi="Aptos"/>
          <w:b w:val="0"/>
          <w:i w:val="0"/>
          <w:color w:val="131B2E"/>
          <w:sz w:val="21"/>
        </w:rPr>
        <w:t>Cole o valor no campo Meta Pixel.</w:t>
      </w:r>
    </w:p>
    <w:p>
      <w:pPr>
        <w:pStyle w:val="ListNumber"/>
        <w:spacing w:after="80" w:line="269" w:lineRule="auto"/>
      </w:pPr>
      <w:r>
        <w:rPr>
          <w:rFonts w:ascii="Aptos" w:hAnsi="Aptos"/>
          <w:b w:val="0"/>
          <w:i w:val="0"/>
          <w:color w:val="131B2E"/>
          <w:sz w:val="21"/>
        </w:rPr>
        <w:t>Clique em Salvar alterações.</w:t>
      </w:r>
    </w:p>
    <w:p>
      <w:pPr>
        <w:spacing w:after="140" w:line="269" w:lineRule="auto"/>
      </w:pPr>
      <w:r>
        <w:rPr>
          <w:rFonts w:ascii="Aptos" w:hAnsi="Aptos"/>
          <w:b w:val="0"/>
          <w:i w:val="0"/>
          <w:color w:val="131B2E"/>
          <w:sz w:val="21"/>
        </w:rPr>
        <w:t>Use somente o ID numérico. Token de acesso e segredo do servidor não devem ser colocados no navegador.</w:t>
      </w:r>
    </w:p>
    <w:p>
      <w:pPr>
        <w:pStyle w:val="Heading2"/>
        <w:keepNext/>
        <w:spacing w:after="80" w:line="240" w:lineRule="auto"/>
      </w:pPr>
      <w:r>
        <w:rPr>
          <w:rFonts w:ascii="Aptos" w:hAnsi="Aptos"/>
          <w:b/>
          <w:i w:val="0"/>
          <w:color w:val="131B2E"/>
          <w:sz w:val="24"/>
        </w:rPr>
        <w:t>Webhook de leads</w:t>
      </w:r>
    </w:p>
    <w:p>
      <w:pPr>
        <w:pStyle w:val="ListNumber"/>
        <w:spacing w:after="80" w:line="269" w:lineRule="auto"/>
      </w:pPr>
      <w:r>
        <w:rPr>
          <w:rFonts w:ascii="Aptos" w:hAnsi="Aptos"/>
          <w:b w:val="0"/>
          <w:i w:val="0"/>
          <w:color w:val="131B2E"/>
          <w:sz w:val="21"/>
        </w:rPr>
        <w:t>Crie um endpoint HTTPS no seu CRM, automação ou backend.</w:t>
      </w:r>
    </w:p>
    <w:p>
      <w:pPr>
        <w:pStyle w:val="ListNumber"/>
        <w:spacing w:after="80" w:line="269" w:lineRule="auto"/>
      </w:pPr>
      <w:r>
        <w:rPr>
          <w:rFonts w:ascii="Aptos" w:hAnsi="Aptos"/>
          <w:b w:val="0"/>
          <w:i w:val="0"/>
          <w:color w:val="131B2E"/>
          <w:sz w:val="21"/>
        </w:rPr>
        <w:t>Garanta que o endpoint aceite requisições POST com JSON e responda com HTTP 2xx.</w:t>
      </w:r>
    </w:p>
    <w:p>
      <w:pPr>
        <w:pStyle w:val="ListNumber"/>
        <w:spacing w:after="80" w:line="269" w:lineRule="auto"/>
      </w:pPr>
      <w:r>
        <w:rPr>
          <w:rFonts w:ascii="Aptos" w:hAnsi="Aptos"/>
          <w:b w:val="0"/>
          <w:i w:val="0"/>
          <w:color w:val="131B2E"/>
          <w:sz w:val="21"/>
        </w:rPr>
        <w:t>Cole a URL no campo Webhook de leads.</w:t>
      </w:r>
    </w:p>
    <w:p>
      <w:pPr>
        <w:pStyle w:val="ListNumber"/>
        <w:spacing w:after="80" w:line="269" w:lineRule="auto"/>
      </w:pPr>
      <w:r>
        <w:rPr>
          <w:rFonts w:ascii="Aptos" w:hAnsi="Aptos"/>
          <w:b w:val="0"/>
          <w:i w:val="0"/>
          <w:color w:val="131B2E"/>
          <w:sz w:val="21"/>
        </w:rPr>
        <w:t>Clique em Salvar alterações.</w:t>
      </w:r>
    </w:p>
    <w:p>
      <w:pPr>
        <w:pStyle w:val="ListNumber"/>
        <w:spacing w:after="80" w:line="269" w:lineRule="auto"/>
      </w:pPr>
      <w:r>
        <w:rPr>
          <w:rFonts w:ascii="Aptos" w:hAnsi="Aptos"/>
          <w:b w:val="0"/>
          <w:i w:val="0"/>
          <w:color w:val="131B2E"/>
          <w:sz w:val="21"/>
        </w:rPr>
        <w:t>Teste o endpoint fora do painel antes de colocá-lo em produção.</w:t>
      </w:r>
    </w:p>
    <w:tbl>
      <w:tblPr>
        <w:tblStyle w:val="TableGrid"/>
        <w:tblW w:type="auto" w:w="0"/>
        <w:jc w:val="center"/>
        <w:tblLook w:firstColumn="1" w:firstRow="1" w:lastColumn="0" w:lastRow="0" w:noHBand="0" w:noVBand="1" w:val="04A0"/>
      </w:tblPr>
      <w:tblGrid>
        <w:gridCol w:w="5083"/>
        <w:gridCol w:w="5083"/>
      </w:tblGrid>
      <w:tr>
        <w:tc>
          <w:tcPr>
            <w:tcW w:type="dxa" w:w="2232"/>
            <w:shd w:fill="131B2E"/>
            <w:tcBorders>
              <w:top w:val="single" w:sz="6" w:space="0" w:color="131B2E"/>
              <w:left w:val="single" w:sz="6" w:space="0" w:color="131B2E"/>
              <w:bottom w:val="single" w:sz="6" w:space="0" w:color="131B2E"/>
              <w:right w:val="single" w:sz="6" w:space="0" w:color="131B2E"/>
              <w:insideH w:val="single" w:sz="6" w:space="0" w:color="131B2E"/>
              <w:insideV w:val="single" w:sz="6" w:space="0" w:color="131B2E"/>
            </w:tcBorders>
            <w:tcMar>
              <w:top w:w="110" w:type="dxa"/>
              <w:start w:w="120" w:type="dxa"/>
              <w:bottom w:w="110" w:type="dxa"/>
              <w:end w:w="120" w:type="dxa"/>
            </w:tcMar>
            <w:vAlign w:val="center"/>
          </w:tcPr>
          <w:p>
            <w:pPr>
              <w:spacing w:after="0" w:line="240" w:lineRule="auto"/>
            </w:pPr>
            <w:r>
              <w:rPr>
                <w:rFonts w:ascii="Aptos" w:hAnsi="Aptos"/>
                <w:b/>
                <w:i w:val="0"/>
                <w:color w:val="FFFFFF"/>
                <w:sz w:val="18"/>
              </w:rPr>
              <w:t>Requisito</w:t>
            </w:r>
          </w:p>
        </w:tc>
        <w:tc>
          <w:tcPr>
            <w:tcW w:type="dxa" w:w="7992"/>
            <w:shd w:fill="131B2E"/>
            <w:tcBorders>
              <w:top w:val="single" w:sz="6" w:space="0" w:color="131B2E"/>
              <w:left w:val="single" w:sz="6" w:space="0" w:color="131B2E"/>
              <w:bottom w:val="single" w:sz="6" w:space="0" w:color="131B2E"/>
              <w:right w:val="single" w:sz="6" w:space="0" w:color="131B2E"/>
              <w:insideH w:val="single" w:sz="6" w:space="0" w:color="131B2E"/>
              <w:insideV w:val="single" w:sz="6" w:space="0" w:color="131B2E"/>
            </w:tcBorders>
            <w:tcMar>
              <w:top w:w="110" w:type="dxa"/>
              <w:start w:w="120" w:type="dxa"/>
              <w:bottom w:w="110" w:type="dxa"/>
              <w:end w:w="120" w:type="dxa"/>
            </w:tcMar>
            <w:vAlign w:val="center"/>
          </w:tcPr>
          <w:p>
            <w:pPr>
              <w:spacing w:after="0" w:line="240" w:lineRule="auto"/>
            </w:pPr>
            <w:r>
              <w:rPr>
                <w:rFonts w:ascii="Aptos" w:hAnsi="Aptos"/>
                <w:b/>
                <w:i w:val="0"/>
                <w:color w:val="FFFFFF"/>
                <w:sz w:val="18"/>
              </w:rPr>
              <w:t>Recomendação</w:t>
            </w:r>
          </w:p>
        </w:tc>
      </w:tr>
      <w:tr>
        <w:tc>
          <w:tcPr>
            <w:tcW w:type="dxa" w:w="2232"/>
            <w:shd w:fill="FFFF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Protocolo</w:t>
            </w:r>
          </w:p>
        </w:tc>
        <w:tc>
          <w:tcPr>
            <w:tcW w:type="dxa" w:w="7992"/>
            <w:shd w:fill="FFFF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HTTPS obrigatório.</w:t>
            </w:r>
          </w:p>
        </w:tc>
      </w:tr>
      <w:tr>
        <w:tc>
          <w:tcPr>
            <w:tcW w:type="dxa" w:w="2232"/>
            <w:shd w:fill="FAF8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Autenticação</w:t>
            </w:r>
          </w:p>
        </w:tc>
        <w:tc>
          <w:tcPr>
            <w:tcW w:type="dxa" w:w="7992"/>
            <w:shd w:fill="FAF8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Use segredo no servidor ou assinatura HMAC; não exponha tokens no frontend.</w:t>
            </w:r>
          </w:p>
        </w:tc>
      </w:tr>
      <w:tr>
        <w:tc>
          <w:tcPr>
            <w:tcW w:type="dxa" w:w="2232"/>
            <w:shd w:fill="FFFF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Resposta</w:t>
            </w:r>
          </w:p>
        </w:tc>
        <w:tc>
          <w:tcPr>
            <w:tcW w:type="dxa" w:w="7992"/>
            <w:shd w:fill="FFFF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Retorne HTTP 200 ou 204 rapidamente.</w:t>
            </w:r>
          </w:p>
        </w:tc>
      </w:tr>
      <w:tr>
        <w:tc>
          <w:tcPr>
            <w:tcW w:type="dxa" w:w="2232"/>
            <w:shd w:fill="FAF8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Idempotência</w:t>
            </w:r>
          </w:p>
        </w:tc>
        <w:tc>
          <w:tcPr>
            <w:tcW w:type="dxa" w:w="7992"/>
            <w:shd w:fill="FAF8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Aceite reenvio sem duplicar lead.</w:t>
            </w:r>
          </w:p>
        </w:tc>
      </w:tr>
      <w:tr>
        <w:tc>
          <w:tcPr>
            <w:tcW w:type="dxa" w:w="2232"/>
            <w:shd w:fill="FFFF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Logs</w:t>
            </w:r>
          </w:p>
        </w:tc>
        <w:tc>
          <w:tcPr>
            <w:tcW w:type="dxa" w:w="7992"/>
            <w:shd w:fill="FFFFFF"/>
            <w:tcBorders>
              <w:top w:val="single" w:sz="6" w:space="0" w:color="E6E7F2"/>
              <w:left w:val="single" w:sz="6" w:space="0" w:color="E6E7F2"/>
              <w:bottom w:val="single" w:sz="6" w:space="0" w:color="E6E7F2"/>
              <w:right w:val="single" w:sz="6" w:space="0" w:color="E6E7F2"/>
              <w:insideH w:val="single" w:sz="6" w:space="0" w:color="E6E7F2"/>
              <w:insideV w:val="single" w:sz="6" w:space="0" w:color="E6E7F2"/>
            </w:tcBorders>
            <w:tcMar>
              <w:top w:w="105" w:type="dxa"/>
              <w:start w:w="120" w:type="dxa"/>
              <w:bottom w:w="105" w:type="dxa"/>
              <w:end w:w="120" w:type="dxa"/>
            </w:tcMar>
            <w:vAlign w:val="top"/>
          </w:tcPr>
          <w:p>
            <w:pPr>
              <w:spacing w:after="0" w:line="252" w:lineRule="auto"/>
            </w:pPr>
            <w:r>
              <w:rPr>
                <w:rFonts w:ascii="Aptos" w:hAnsi="Aptos"/>
                <w:b w:val="0"/>
                <w:i w:val="0"/>
                <w:color w:val="131B2E"/>
                <w:sz w:val="17"/>
              </w:rPr>
              <w:t>Registre falhas e tenha retry controlado.</w:t>
            </w:r>
          </w:p>
        </w:tc>
      </w:tr>
    </w:tbl>
    <w:p>
      <w:pPr>
        <w:spacing w:after="0"/>
      </w:pPr>
    </w:p>
    <w:p>
      <w:pPr>
        <w:pStyle w:val="Heading2"/>
        <w:keepNext/>
        <w:spacing w:after="80" w:line="240" w:lineRule="auto"/>
      </w:pPr>
      <w:r>
        <w:rPr>
          <w:rFonts w:ascii="Aptos" w:hAnsi="Aptos"/>
          <w:b/>
          <w:i w:val="0"/>
          <w:color w:val="131B2E"/>
          <w:sz w:val="24"/>
        </w:rPr>
        <w:t>Estado atual das integrações</w:t>
      </w:r>
    </w:p>
    <w:tbl>
      <w:tblPr>
        <w:tblW w:type="auto" w:w="0"/>
        <w:jc w:val="center"/>
        <w:tblLook w:firstColumn="1" w:firstRow="1" w:lastColumn="0" w:lastRow="0" w:noHBand="0" w:noVBand="1" w:val="04A0"/>
      </w:tblPr>
      <w:tblGrid>
        <w:gridCol w:w="10166"/>
      </w:tblGrid>
      <w:tr>
        <w:tc>
          <w:tcPr>
            <w:tcW w:type="dxa" w:w="10166"/>
            <w:shd w:fill="FFF7F7"/>
            <w:tcBorders>
              <w:top w:val="single" w:sz="12" w:space="0" w:color="9B1C1C"/>
              <w:left w:val="single" w:sz="12" w:space="0" w:color="9B1C1C"/>
              <w:bottom w:val="single" w:sz="12" w:space="0" w:color="9B1C1C"/>
              <w:right w:val="single" w:sz="12" w:space="0" w:color="9B1C1C"/>
              <w:insideH w:val="single" w:sz="12" w:space="0" w:color="9B1C1C"/>
              <w:insideV w:val="single" w:sz="12" w:space="0" w:color="9B1C1C"/>
            </w:tcBorders>
            <w:tcMar>
              <w:top w:w="150" w:type="dxa"/>
              <w:start w:w="180" w:type="dxa"/>
              <w:bottom w:w="150" w:type="dxa"/>
              <w:end w:w="180" w:type="dxa"/>
            </w:tcMar>
          </w:tcPr>
          <w:p>
            <w:pPr>
              <w:spacing w:after="60" w:line="269" w:lineRule="auto"/>
            </w:pPr>
            <w:r>
              <w:rPr>
                <w:rFonts w:ascii="Aptos" w:hAnsi="Aptos"/>
                <w:b/>
                <w:i w:val="0"/>
                <w:color w:val="9B1C1C"/>
                <w:sz w:val="21"/>
              </w:rPr>
              <w:t>Importante</w:t>
            </w:r>
          </w:p>
          <w:p>
            <w:pPr>
              <w:spacing w:after="0" w:line="269" w:lineRule="auto"/>
            </w:pPr>
            <w:r>
              <w:rPr>
                <w:rFonts w:ascii="Aptos" w:hAnsi="Aptos"/>
                <w:b w:val="0"/>
                <w:i w:val="0"/>
                <w:color w:val="131B2E"/>
                <w:sz w:val="19"/>
              </w:rPr>
              <w:t>Os campos Google Analytics, Meta Pixel e Webhook de leads são exibidos e salvos nas preferências locais do navegador. O código atual ainda não injeta scripts de analytics nem envia automaticamente leads ao webhook. Para produção, implemente essa execução em uma camada controlada, preferencialmente no backend ou em um serviço de integração.</w:t>
            </w:r>
          </w:p>
        </w:tc>
      </w:tr>
    </w:tbl>
    <w:p>
      <w:pPr>
        <w:spacing w:after="0"/>
      </w:pPr>
    </w:p>
    <w:p>
      <w:pPr>
        <w:pStyle w:val="ListBullet"/>
        <w:spacing w:after="60" w:line="269" w:lineRule="auto"/>
      </w:pPr>
      <w:r>
        <w:rPr>
          <w:rFonts w:ascii="Aptos" w:hAnsi="Aptos"/>
          <w:b w:val="0"/>
          <w:i w:val="0"/>
          <w:color w:val="131B2E"/>
          <w:sz w:val="21"/>
        </w:rPr>
        <w:t>Não coloque chaves secretas, tokens privados ou credenciais de API em VITE_* ou em campos do painel.</w:t>
      </w:r>
    </w:p>
    <w:p>
      <w:pPr>
        <w:pStyle w:val="ListBullet"/>
        <w:spacing w:after="60" w:line="269" w:lineRule="auto"/>
      </w:pPr>
      <w:r>
        <w:rPr>
          <w:rFonts w:ascii="Aptos" w:hAnsi="Aptos"/>
          <w:b w:val="0"/>
          <w:i w:val="0"/>
          <w:color w:val="131B2E"/>
          <w:sz w:val="21"/>
        </w:rPr>
        <w:t>Use variáveis de ambiente no backend para segredos.</w:t>
      </w:r>
    </w:p>
    <w:p>
      <w:pPr>
        <w:pStyle w:val="ListBullet"/>
        <w:spacing w:after="60" w:line="269" w:lineRule="auto"/>
      </w:pPr>
      <w:r>
        <w:rPr>
          <w:rFonts w:ascii="Aptos" w:hAnsi="Aptos"/>
          <w:b w:val="0"/>
          <w:i w:val="0"/>
          <w:color w:val="131B2E"/>
          <w:sz w:val="21"/>
        </w:rPr>
        <w:t>Considere consentimento de cookies e LGPD antes de ativar rastreamento.</w:t>
      </w:r>
    </w:p>
    <w:sectPr w:rsidR="00FC693F" w:rsidRPr="0006063C" w:rsidSect="00034616">
      <w:footerReference w:type="default" r:id="rId9"/>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jc w:val="center"/>
    </w:pPr>
    <w:r>
      <w:rPr>
        <w:rFonts w:ascii="Aptos" w:hAnsi="Aptos"/>
        <w:b w:val="0"/>
        <w:i w:val="0"/>
        <w:color w:val="5F6475"/>
        <w:sz w:val="16"/>
      </w:rPr>
      <w:t>PandaBio  |  Manual de Configuração  |  01 de outubro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Configuração do PandaBio</dc:title>
  <dc:subject>Domínio personalizado e integrações</dc:subject>
  <dc:creator>PandaBio</dc:creator>
  <cp:keywords>PandaBio, domínio personalizado, DNS, integrações, Google Analytics, Meta Pixel, webhook</cp:keywords>
  <dc:description>generated by python-docx</dc:description>
  <cp:lastModifiedBy/>
  <cp:revision>1</cp:revision>
  <dcterms:created xsi:type="dcterms:W3CDTF">2013-12-23T23:15:00Z</dcterms:created>
  <dcterms:modified xsi:type="dcterms:W3CDTF">2013-12-23T23:15:00Z</dcterms:modified>
  <cp:category/>
</cp:coreProperties>
</file>