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la différence entre tatouage aveugle et tatouage non aveugle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  <w:t xml:space="preserve">La principale caractéristique du tatouage aveugle est que la marque est extraite seulement à l’aide de l’image déjà tatouée (il suffit de connaître l’algorithme d’extraction). Dans le cas du tatouage non-aveugle, il est nécessaire de connaître en plus l’image originale.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principales applications du tatouage dans le domaine de l’imagerie médicale ? Expliquer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red"/>
          <w:u w:val="single"/>
        </w:rPr>
      </w:pPr>
      <w:r w:rsidDel="00000000" w:rsidR="00000000" w:rsidRPr="00000000">
        <w:rPr>
          <w:rtl w:val="0"/>
        </w:rPr>
        <w:t xml:space="preserve">Transmettre le dossier patient avec le scanner, des informations complémentaires sur le type d'image prisent à quelle heure.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Copyright Protection : Le but est de rendre invisible l’information du copyright à travers l’image. Cela permet de prouver en cas de poursuites judiciaires l’appartenance de cette image par extraction de l’information.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Fingerprinting : Le but est de mettre des informations uniques permettant d’identifier le client.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Cette méthode permet au propriétaire de retrouver les sources de copies illégales et de trouver le client qui n’a pas respecté les termes de la licence.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Authentication and Integrity Verification: Vérifier et localiser la moindre modification de l'information.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principales contraintes du tatouage dans le domaine de l’imagerie médicale ? Expliquer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Faire en sorte que l'image ne soit trop distordue à l'œil nu lors de l'analyse par le médecin afin de ne pas fausser les résultats. Faire en sorte que l’image tatouée soit robuste, face aux techniques de compression.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la dualité entre tatouage et compression.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Objectif de la compression : Faire disparaître l’information inutile à l’œil (invisible) pour réduire la quantité de données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Objectif du tatouage : Insérer une information invisible dans l’image.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Exercice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Taille max de l'image J avec I en niveau de gris 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(512 * 512) / 8 = 32 768 pixels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Taille max de l'image J avec I en couleur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(512 * 512 * 3) / 8 = 98 304 pixels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 en binaire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0 =     0 0 0 0 0 0 0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128 = 1 0 0 0 0 0 0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152 = 1 0 0 1 1 0 0 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 =   0 0 1 0 1 0 1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Chaîne à code dans l'image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0 0 0 0 0 0 0 0 1 0 0 0 0 0 0 0 1 0 0 1 1 0 0 0 0 0 1 0 1 0 1 1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40"/>
        <w:gridCol w:w="1129.8333333333333"/>
        <w:gridCol w:w="1129.8333333333333"/>
        <w:gridCol w:w="1129.8333333333333"/>
        <w:gridCol w:w="1129.8333333333333"/>
        <w:gridCol w:w="1129.8333333333333"/>
        <w:gridCol w:w="1129.8333333333333"/>
        <w:tblGridChange w:id="0">
          <w:tblGrid>
            <w:gridCol w:w="1110"/>
            <w:gridCol w:w="1140"/>
            <w:gridCol w:w="1129.8333333333333"/>
            <w:gridCol w:w="1129.8333333333333"/>
            <w:gridCol w:w="1129.8333333333333"/>
            <w:gridCol w:w="1129.8333333333333"/>
            <w:gridCol w:w="1129.8333333333333"/>
            <w:gridCol w:w="1129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multiplication par 3 ne modifie pas la parité d'un nombre. Or en binaire, le dernier chiffre correspond à la parité de celui-ci, donc la chaîne extraite est identique à la première chaîne.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0 128 152 43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Coefficient de corrélation =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CRC = </w:t>
      </w:r>
      <m:oMath>
        <m:f>
          <m:fPr>
            <m:ctrlPr>
              <w:rPr/>
            </m:ctrlPr>
          </m:fPr>
          <m:num>
            <m:r>
              <w:rPr/>
              <m:t xml:space="preserve">0 * 0 + 128 * 47 + 152 *153 + 43*84</m:t>
            </m:r>
          </m:num>
          <m:den>
            <m:r>
              <w:rPr/>
              <m:t xml:space="preserve">sqrt(        104329*80656        ) </m:t>
            </m:r>
          </m:den>
        </m:f>
      </m:oMath>
      <w:r w:rsidDel="00000000" w:rsidR="00000000" w:rsidRPr="00000000">
        <w:rPr>
          <w:rtl w:val="0"/>
        </w:rPr>
        <w:t xml:space="preserve"> = 76.47  Ultra faux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76613" cy="839779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83977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0 128 152 43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0 47 153 84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Corrélation plus c’est proche de 1, plus c’est corrélé (lié)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 coefficient de corrélation est &gt;&gt; 1 et donc pas lié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highlight w:val="red"/>
          <w:u w:val="single"/>
          <w:rtl w:val="0"/>
        </w:rPr>
        <w:t xml:space="preserve">DAVID La q5 plus on est proch de 0 plus y a quoi ? Plus l’image ressemble à l’original Merci JULIEN TU AS VU 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