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</w:tbl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925.0" w:type="dxa"/>
        <w:jc w:val="left"/>
        <w:tblLayout w:type="fixed"/>
        <w:tblLook w:val="0600"/>
      </w:tblPr>
      <w:tblGrid>
        <w:gridCol w:w="1850"/>
        <w:gridCol w:w="2840"/>
        <w:gridCol w:w="1235"/>
        <w:tblGridChange w:id="0">
          <w:tblGrid>
            <w:gridCol w:w="1850"/>
            <w:gridCol w:w="2840"/>
            <w:gridCol w:w="1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Vermelho escuro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Destaques e botões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#8B0000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Azul profundo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Fundo ou seções principais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#0B1E3F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Dourado suave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Títulos e ícones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#FFD700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Cinza metálico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Texto secundário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#A9A9A9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Preto fosco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Fundo ou rodapé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#1C1C1C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cores remetem ao traje clássico do Superman, à atmosfera rural de Smallville e ao tom sombrio que a série adota em muitos momentos.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p0dnerjpc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🔤 Fontes que combinam com o estilo da série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Títulos e logotipo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Orbitron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Anton</w:t>
      </w:r>
      <w:r w:rsidDel="00000000" w:rsidR="00000000" w:rsidRPr="00000000">
        <w:rPr>
          <w:rtl w:val="0"/>
        </w:rPr>
        <w:t xml:space="preserve"> — fontes geométricas e futuristas que evocam tecnologia e poder.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 corrido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Roboto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 Sans</w:t>
      </w:r>
      <w:r w:rsidDel="00000000" w:rsidR="00000000" w:rsidRPr="00000000">
        <w:rPr>
          <w:rtl w:val="0"/>
        </w:rPr>
        <w:t xml:space="preserve"> — modernas, legíveis e versáteis para leitura em telas.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Citações ou destaques dramáticos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Playfair Display</w:t>
      </w:r>
      <w:r w:rsidDel="00000000" w:rsidR="00000000" w:rsidRPr="00000000">
        <w:rPr>
          <w:rtl w:val="0"/>
        </w:rPr>
        <w:t xml:space="preserve"> — serifada, elegante e com um toque clássico.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