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14E" w:rsidRDefault="00536C76">
      <w:r>
        <w:t>Revision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3077"/>
        <w:gridCol w:w="5732"/>
        <w:gridCol w:w="1256"/>
      </w:tblGrid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Issue Raised</w:t>
            </w:r>
          </w:p>
        </w:tc>
        <w:tc>
          <w:tcPr>
            <w:tcW w:w="5732" w:type="dxa"/>
            <w:hideMark/>
          </w:tcPr>
          <w:p w:rsidR="00536C76" w:rsidRPr="00536C76" w:rsidRDefault="00536C76" w:rsidP="00536C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Revision / Improvement Made</w:t>
            </w:r>
          </w:p>
        </w:tc>
        <w:tc>
          <w:tcPr>
            <w:tcW w:w="1256" w:type="dxa"/>
          </w:tcPr>
          <w:p w:rsidR="00536C76" w:rsidRPr="00536C76" w:rsidRDefault="00536C76" w:rsidP="00536C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Page/para</w:t>
            </w: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4B4A36" w:rsidRDefault="004B4A36" w:rsidP="004B4A3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4A36">
              <w:rPr>
                <w:rFonts w:ascii="Times New Roman" w:hAnsi="Times New Roman" w:cs="Times New Roman"/>
                <w:sz w:val="24"/>
                <w:szCs w:val="24"/>
              </w:rPr>
              <w:t xml:space="preserve">You mentioned supervised learning for anomalies. So that assumes that the anomalies 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labelled</w:t>
            </w:r>
            <w:r w:rsidRPr="004B4A36">
              <w:rPr>
                <w:rFonts w:ascii="Times New Roman" w:hAnsi="Times New Roman" w:cs="Times New Roman"/>
                <w:sz w:val="24"/>
                <w:szCs w:val="24"/>
              </w:rPr>
              <w:t>. So what were the labelling procedures for the anomalies, and how did you prevent that data leakage? What was the criterion for a price being an anomaly? How do you ensure genuine market anomalies other than predicting where a category would fall in the threshold you have defined?</w:t>
            </w:r>
          </w:p>
        </w:tc>
        <w:tc>
          <w:tcPr>
            <w:tcW w:w="5732" w:type="dxa"/>
            <w:hideMark/>
          </w:tcPr>
          <w:p w:rsidR="00536C76" w:rsidRDefault="00536C76" w:rsidP="004B4A3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4A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Added a dedicated </w:t>
            </w:r>
            <w:r w:rsidR="004B4A36" w:rsidRPr="004B4A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Section 3.2.2Anomaly Labelling Criteria</w:t>
            </w:r>
            <w:r w:rsidRPr="004B4A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explaining statistical thresholding, contextual validation, and binary class generation.</w:t>
            </w:r>
          </w:p>
          <w:p w:rsidR="004B4A36" w:rsidRPr="004B4A36" w:rsidRDefault="004B4A36" w:rsidP="004B4A3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Clarified that labels were generated using Z-score and IQR thresholds, rolling temporal analysis, and validation against historical market disruptions and food security conditions.</w:t>
            </w:r>
          </w:p>
        </w:tc>
        <w:tc>
          <w:tcPr>
            <w:tcW w:w="1256" w:type="dxa"/>
          </w:tcPr>
          <w:p w:rsidR="00536C76" w:rsidRPr="00536C76" w:rsidRDefault="004B4A3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Pg. 26, sec. 3.2.2</w:t>
            </w: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4B4A36" w:rsidRDefault="004B4A36" w:rsidP="004B4A36">
            <w:pPr>
              <w:numPr>
                <w:ilvl w:val="0"/>
                <w:numId w:val="2"/>
              </w:numPr>
              <w:jc w:val="both"/>
              <w:rPr>
                <w:rFonts w:ascii="Book Antiqua" w:hAnsi="Book Antiqua" w:cs="Arial"/>
                <w:bCs/>
                <w:szCs w:val="16"/>
                <w:highlight w:val="yellow"/>
              </w:rPr>
            </w:pPr>
            <w:r w:rsidRPr="004B4A36">
              <w:rPr>
                <w:rFonts w:ascii="Book Antiqua" w:hAnsi="Book Antiqua" w:cs="Arial"/>
                <w:bCs/>
                <w:szCs w:val="16"/>
              </w:rPr>
              <w:t xml:space="preserve">The first research question specifically mentions inter-commodity relationships, but the results discussion does not clearly show how such relationships were modelled other. </w:t>
            </w:r>
            <w:r w:rsidRPr="004B4A36">
              <w:rPr>
                <w:rFonts w:ascii="Book Antiqua" w:hAnsi="Book Antiqua" w:cs="Arial"/>
                <w:bCs/>
                <w:szCs w:val="16"/>
                <w:highlight w:val="yellow"/>
              </w:rPr>
              <w:t>There is mention of county-level correlation, multiple commodities, and markets, but limited evidence that inter-commodity dependencies were explicitly engineered. For example, the thesis could have included cross-commodity lag features, commodity-level correlation features, or shared market shock indicators.</w:t>
            </w:r>
          </w:p>
        </w:tc>
        <w:tc>
          <w:tcPr>
            <w:tcW w:w="5732" w:type="dxa"/>
            <w:hideMark/>
          </w:tcPr>
          <w:p w:rsidR="00536C76" w:rsidRDefault="00536C76" w:rsidP="004B4A3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B4A3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Added discussion explaining that climatic effects are indirect and temporally lagged, particularly within a contemporaneous logistic regression framework.</w:t>
            </w:r>
          </w:p>
          <w:p w:rsidR="009B4DAF" w:rsidRDefault="009B4DAF" w:rsidP="004B4A3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Expanded discussion to show how supply availability, transport costs, and market dynamics mediate climate impacts on prices.</w:t>
            </w:r>
          </w:p>
          <w:p w:rsidR="009B4DAF" w:rsidRPr="004B4A36" w:rsidRDefault="009B4DAF" w:rsidP="004B4A3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Clarified that interdependencies were partially captured through engineered features such as lagged prices, rolling volatility, and FPMA reference prices.</w:t>
            </w:r>
          </w:p>
        </w:tc>
        <w:tc>
          <w:tcPr>
            <w:tcW w:w="1256" w:type="dxa"/>
          </w:tcPr>
          <w:p w:rsidR="00536C76" w:rsidRPr="00536C76" w:rsidRDefault="004B4A3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Pg. </w:t>
            </w:r>
            <w:r w:rsidR="009B4DAF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66, sect.6.6. para. 2 ,3&amp; 4</w:t>
            </w:r>
          </w:p>
        </w:tc>
      </w:tr>
      <w:tr w:rsidR="009B4DAF" w:rsidRPr="00536C76" w:rsidTr="004B4A36">
        <w:tc>
          <w:tcPr>
            <w:tcW w:w="3077" w:type="dxa"/>
          </w:tcPr>
          <w:p w:rsidR="009B4DAF" w:rsidRPr="009B4DAF" w:rsidRDefault="009B4DAF" w:rsidP="009B4DAF">
            <w:pPr>
              <w:numPr>
                <w:ilvl w:val="0"/>
                <w:numId w:val="2"/>
              </w:numPr>
              <w:jc w:val="both"/>
              <w:rPr>
                <w:rFonts w:ascii="Book Antiqua" w:hAnsi="Book Antiqua" w:cs="Arial"/>
                <w:bCs/>
                <w:szCs w:val="16"/>
                <w:highlight w:val="yellow"/>
              </w:rPr>
            </w:pPr>
            <w:r w:rsidRPr="009B4DAF">
              <w:rPr>
                <w:rFonts w:ascii="Book Antiqua" w:hAnsi="Book Antiqua" w:cs="Arial"/>
                <w:bCs/>
                <w:szCs w:val="16"/>
              </w:rPr>
              <w:t xml:space="preserve">The thesis finds that climatic variables such as rainfall, NDVI anomaly, and SPI have lower direct importance </w:t>
            </w:r>
            <w:r w:rsidRPr="009B4DAF">
              <w:rPr>
                <w:rFonts w:ascii="Book Antiqua" w:hAnsi="Book Antiqua" w:cs="Arial"/>
                <w:bCs/>
                <w:szCs w:val="16"/>
              </w:rPr>
              <w:lastRenderedPageBreak/>
              <w:t xml:space="preserve">on pricing </w:t>
            </w:r>
            <w:r w:rsidRPr="009B4DAF">
              <w:rPr>
                <w:rFonts w:ascii="Book Antiqua" w:hAnsi="Book Antiqua" w:cs="Arial"/>
                <w:bCs/>
                <w:szCs w:val="16"/>
                <w:highlight w:val="yellow"/>
              </w:rPr>
              <w:t>but the student does not provide a rebuttal as to why and what other data would surface this explanation for example market dynamics that capture supply and availability</w:t>
            </w:r>
          </w:p>
        </w:tc>
        <w:tc>
          <w:tcPr>
            <w:tcW w:w="5732" w:type="dxa"/>
          </w:tcPr>
          <w:p w:rsidR="009B4DAF" w:rsidRPr="009B4DAF" w:rsidRDefault="009B4DAF" w:rsidP="004B4A3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lastRenderedPageBreak/>
              <w:t>Added a dedicated discussion explaining that climatic variables influence prices indirectly through production and supply pathways rather than immediate contemporaneous price effects.</w:t>
            </w:r>
          </w:p>
          <w:p w:rsidR="009B4DAF" w:rsidRPr="009B4DAF" w:rsidRDefault="009B4DAF" w:rsidP="004B4A3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lastRenderedPageBreak/>
              <w:t>Clarified that the logistic regression model estimates direct contemporaneous effects, while climatic shocks operate with structural time lags through harvest cycles and supply availability.</w:t>
            </w:r>
          </w:p>
          <w:p w:rsidR="009B4DAF" w:rsidRPr="00902718" w:rsidRDefault="00902718" w:rsidP="004B4A3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t>Expanded interpretation to show that climate impacts are mediated by market-level dynamics such as supply inflows, storage, transport costs, and distribution constraints.</w:t>
            </w:r>
          </w:p>
          <w:p w:rsidR="00902718" w:rsidRPr="004B4A36" w:rsidRDefault="00902718" w:rsidP="004B4A36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t>proposed</w:t>
            </w:r>
            <w:r>
              <w:t xml:space="preserve"> inclusion of supply-side and market-functioning variables such as market arrival volumes, stock levels, inter-market price spreads, import/export flows, and logistics indicators.</w:t>
            </w:r>
          </w:p>
        </w:tc>
        <w:tc>
          <w:tcPr>
            <w:tcW w:w="1256" w:type="dxa"/>
          </w:tcPr>
          <w:p w:rsidR="009B4DAF" w:rsidRDefault="009B4DAF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Lack of explicit inter-commodity feature engineering</w:t>
            </w:r>
          </w:p>
        </w:tc>
        <w:tc>
          <w:tcPr>
            <w:tcW w:w="5732" w:type="dxa"/>
            <w:hideMark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Acknowledged absence of direct cross-commodity interaction features and proposed future inclusion of spillover indices, commodity correlation networks, and lag interactions.</w:t>
            </w:r>
          </w:p>
        </w:tc>
        <w:tc>
          <w:tcPr>
            <w:tcW w:w="1256" w:type="dxa"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Overstatement that supervised ML captures nonlinear patterns</w:t>
            </w:r>
          </w:p>
        </w:tc>
        <w:tc>
          <w:tcPr>
            <w:tcW w:w="5732" w:type="dxa"/>
            <w:hideMark/>
          </w:tcPr>
          <w:p w:rsidR="00536C76" w:rsidRPr="00902718" w:rsidRDefault="00536C76" w:rsidP="00902718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bookmarkStart w:id="0" w:name="_GoBack"/>
            <w:bookmarkEnd w:id="0"/>
            <w:r w:rsidRPr="0090271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Revised wording to clarify that logistic regression is a linear estimator and that complexity arises from engineered temporal and transformed features rather than inherent model nonlinearity.</w:t>
            </w:r>
          </w:p>
        </w:tc>
        <w:tc>
          <w:tcPr>
            <w:tcW w:w="1256" w:type="dxa"/>
          </w:tcPr>
          <w:p w:rsidR="00536C76" w:rsidRPr="00536C76" w:rsidRDefault="00902718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Pg.72, sec.7.2 para:2</w:t>
            </w: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Insufficient justification for stratified cross-validation</w:t>
            </w:r>
          </w:p>
        </w:tc>
        <w:tc>
          <w:tcPr>
            <w:tcW w:w="5732" w:type="dxa"/>
            <w:hideMark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Added methodological justification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for preserving the anomaly class distribution and reducing</w:t>
            </w: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sampling bias.</w:t>
            </w:r>
          </w:p>
        </w:tc>
        <w:tc>
          <w:tcPr>
            <w:tcW w:w="1256" w:type="dxa"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Weak justification for ROC-optimized thresholds</w:t>
            </w:r>
          </w:p>
        </w:tc>
        <w:tc>
          <w:tcPr>
            <w:tcW w:w="5732" w:type="dxa"/>
            <w:hideMark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Explained why ROC-based threshold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optimisation</w:t>
            </w: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was preferred over the default 0.5 threshold in imbalanced anomaly detection settings.</w:t>
            </w:r>
          </w:p>
        </w:tc>
        <w:tc>
          <w:tcPr>
            <w:tcW w:w="1256" w:type="dxa"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Limited explanation of hyperparameter selection</w:t>
            </w:r>
          </w:p>
        </w:tc>
        <w:tc>
          <w:tcPr>
            <w:tcW w:w="5732" w:type="dxa"/>
            <w:hideMark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Added discussion showing how model-specific hyperparameters were tuned to balance generalization and overfitting control.</w:t>
            </w:r>
          </w:p>
        </w:tc>
        <w:tc>
          <w:tcPr>
            <w:tcW w:w="1256" w:type="dxa"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Weak handling of class imbalance</w:t>
            </w:r>
          </w:p>
        </w:tc>
        <w:tc>
          <w:tcPr>
            <w:tcW w:w="5732" w:type="dxa"/>
            <w:hideMark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Added justification for weighted learning approaches and explained why resampling methods such as SMOTE were not preferred for temporally structured data.</w:t>
            </w:r>
          </w:p>
        </w:tc>
        <w:tc>
          <w:tcPr>
            <w:tcW w:w="1256" w:type="dxa"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Literature review lacked critical evaluation</w:t>
            </w:r>
          </w:p>
        </w:tc>
        <w:tc>
          <w:tcPr>
            <w:tcW w:w="5732" w:type="dxa"/>
            <w:hideMark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Incorporated evidence-based critiques discussing limitations of seasonal decomposition methods, correlational climate studies, and statistical anomaly frameworks.</w:t>
            </w:r>
          </w:p>
        </w:tc>
        <w:tc>
          <w:tcPr>
            <w:tcW w:w="1256" w:type="dxa"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Lack of critique on seasonal modelling approaches</w:t>
            </w:r>
          </w:p>
        </w:tc>
        <w:tc>
          <w:tcPr>
            <w:tcW w:w="5732" w:type="dxa"/>
            <w:hideMark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Added criticism that dummy-based seasonal methods underestimate asymmetric price fluctuations in African staple markets.</w:t>
            </w:r>
          </w:p>
        </w:tc>
        <w:tc>
          <w:tcPr>
            <w:tcW w:w="1256" w:type="dxa"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Weak critique of climate–price literature</w:t>
            </w:r>
          </w:p>
        </w:tc>
        <w:tc>
          <w:tcPr>
            <w:tcW w:w="5732" w:type="dxa"/>
            <w:hideMark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Added evidence that many studies rely on correlational relationships and aggregated spatial data, limiting causal interpretation and local market sensitivity.</w:t>
            </w:r>
          </w:p>
        </w:tc>
        <w:tc>
          <w:tcPr>
            <w:tcW w:w="1256" w:type="dxa"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Limited critique of gradient-boosting studies</w:t>
            </w:r>
          </w:p>
        </w:tc>
        <w:tc>
          <w:tcPr>
            <w:tcW w:w="5732" w:type="dxa"/>
            <w:hideMark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Added discussion that gradient-boosted models often lose predictive reliability over longer horizons and in unstable crisis environments.</w:t>
            </w:r>
          </w:p>
        </w:tc>
        <w:tc>
          <w:tcPr>
            <w:tcW w:w="1256" w:type="dxa"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536C76" w:rsidRPr="00536C76" w:rsidTr="004B4A36">
        <w:tc>
          <w:tcPr>
            <w:tcW w:w="3077" w:type="dxa"/>
            <w:hideMark/>
          </w:tcPr>
          <w:p w:rsidR="00536C76" w:rsidRPr="00536C76" w:rsidRDefault="00536C76" w:rsidP="00536C76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Limited critique of IFPA anomaly frameworks</w:t>
            </w:r>
          </w:p>
        </w:tc>
        <w:tc>
          <w:tcPr>
            <w:tcW w:w="5732" w:type="dxa"/>
            <w:hideMark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36C7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Added discussion that purely statistical anomaly thresholds may overlook structural market drivers such as trade policy and speculative dynamics.</w:t>
            </w:r>
          </w:p>
        </w:tc>
        <w:tc>
          <w:tcPr>
            <w:tcW w:w="1256" w:type="dxa"/>
          </w:tcPr>
          <w:p w:rsidR="00536C76" w:rsidRPr="00536C76" w:rsidRDefault="00536C76" w:rsidP="00536C7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536C76" w:rsidRDefault="00536C76"/>
    <w:sectPr w:rsidR="00536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04585"/>
    <w:multiLevelType w:val="hybridMultilevel"/>
    <w:tmpl w:val="A888143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B765AD"/>
    <w:multiLevelType w:val="hybridMultilevel"/>
    <w:tmpl w:val="13BEA0E0"/>
    <w:lvl w:ilvl="0" w:tplc="7966D31A">
      <w:numFmt w:val="bullet"/>
      <w:lvlText w:val="-"/>
      <w:lvlJc w:val="left"/>
      <w:pPr>
        <w:ind w:left="-349" w:hanging="360"/>
      </w:pPr>
      <w:rPr>
        <w:rFonts w:ascii="Book Antiqua" w:eastAsia="Times New Roman" w:hAnsi="Book Antiqua" w:cs="Arial" w:hint="default"/>
      </w:rPr>
    </w:lvl>
    <w:lvl w:ilvl="1" w:tplc="0809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436E0458"/>
    <w:multiLevelType w:val="hybridMultilevel"/>
    <w:tmpl w:val="7F1CEA96"/>
    <w:lvl w:ilvl="0" w:tplc="0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E094A13"/>
    <w:multiLevelType w:val="hybridMultilevel"/>
    <w:tmpl w:val="9D986B58"/>
    <w:lvl w:ilvl="0" w:tplc="3C70E3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C76"/>
    <w:rsid w:val="000061D4"/>
    <w:rsid w:val="00042F86"/>
    <w:rsid w:val="003C51C0"/>
    <w:rsid w:val="004B4A36"/>
    <w:rsid w:val="004D4556"/>
    <w:rsid w:val="004E415B"/>
    <w:rsid w:val="00536C76"/>
    <w:rsid w:val="00715D04"/>
    <w:rsid w:val="00902718"/>
    <w:rsid w:val="009B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0FCF"/>
  <w15:chartTrackingRefBased/>
  <w15:docId w15:val="{3DFFE614-B292-4C77-A231-DD2ED6C7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6C76"/>
    <w:rPr>
      <w:b/>
      <w:bCs/>
    </w:rPr>
  </w:style>
  <w:style w:type="table" w:styleId="TableGrid">
    <w:name w:val="Table Grid"/>
    <w:basedOn w:val="TableNormal"/>
    <w:uiPriority w:val="39"/>
    <w:rsid w:val="00536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6C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1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2026-05-19T19:35:00Z</dcterms:created>
  <dcterms:modified xsi:type="dcterms:W3CDTF">2026-05-19T20:10:00Z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03356eba-8519-49fb-a3c3-fc89a8dd3727</vt:lpwstr>
  </property>
</Properties>
</file>