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MANIFIESTO OMNICAPITAL</w:t>
      </w:r>
    </w:p>
    <w:p>
      <w:pPr>
        <w:pStyle w:val="Heading1"/>
      </w:pPr>
      <w:r>
        <w:rPr>
          <w:color w:val="003366"/>
          <w:sz w:val="36"/>
        </w:rPr>
        <w:t>Sistema Integral de Gestión de Capital Algorítmico</w:t>
      </w:r>
    </w:p>
    <w:p>
      <w:r/>
      <w:r>
        <w:rPr>
          <w:b/>
        </w:rPr>
        <w:t>Versión:</w:t>
      </w:r>
      <w:r>
        <w:t xml:space="preserve"> 7.0  </w:t>
      </w:r>
    </w:p>
    <w:p>
      <w:r/>
      <w:r>
        <w:rPr>
          <w:b/>
        </w:rPr>
        <w:t>Fecha:</w:t>
      </w:r>
      <w:r>
        <w:t xml:space="preserve"> Febrero 2026  </w:t>
      </w:r>
    </w:p>
    <w:p>
      <w:r/>
      <w:r>
        <w:rPr>
          <w:b/>
        </w:rPr>
        <w:t>Clasificación:</w:t>
      </w:r>
      <w:r>
        <w:t xml:space="preserve"> Documento Fundacional  </w:t>
      </w:r>
    </w:p>
    <w:p>
      <w:r/>
      <w:r>
        <w:rPr>
          <w:b/>
        </w:rPr>
        <w:t>Estado:</w:t>
      </w:r>
      <w:r>
        <w:t xml:space="preserve"> DEFINITIVO</w:t>
      </w:r>
    </w:p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ÍNDICE</w:t>
      </w:r>
    </w:p>
    <w:p>
      <w:pPr>
        <w:pStyle w:val="ListNumber"/>
      </w:pPr>
      <w:r>
        <w:t>[Filosofía del Sistema](#1-filosofía-del-sistema)</w:t>
      </w:r>
    </w:p>
    <w:p>
      <w:pPr>
        <w:pStyle w:val="ListNumber"/>
      </w:pPr>
      <w:r>
        <w:t>[Principios Fundamentales](#2-principios-fundamentales)</w:t>
      </w:r>
    </w:p>
    <w:p>
      <w:pPr>
        <w:pStyle w:val="ListNumber"/>
      </w:pPr>
      <w:r>
        <w:t>[Estructura del Universo de Inversión](#3-estructura-del-universo-de-inversión)</w:t>
      </w:r>
    </w:p>
    <w:p>
      <w:pPr>
        <w:pStyle w:val="ListNumber"/>
      </w:pPr>
      <w:r>
        <w:t>[Metodología de Selección de Activos](#4-metodología-de-selección-de-activos)</w:t>
      </w:r>
    </w:p>
    <w:p>
      <w:pPr>
        <w:pStyle w:val="ListNumber"/>
      </w:pPr>
      <w:r>
        <w:t>[Sistema de Puntuación (Scoring)](#5-sistema-de-puntuación-scoring)</w:t>
      </w:r>
    </w:p>
    <w:p>
      <w:pPr>
        <w:pStyle w:val="ListNumber"/>
      </w:pPr>
      <w:r>
        <w:t>[Gestión de Posiciones](#6-gestión-de-posiciones)</w:t>
      </w:r>
    </w:p>
    <w:p>
      <w:pPr>
        <w:pStyle w:val="ListNumber"/>
      </w:pPr>
      <w:r>
        <w:t>[Timing de Entrada y Salida](#7-timing-de-entrada-y-salida)</w:t>
      </w:r>
    </w:p>
    <w:p>
      <w:pPr>
        <w:pStyle w:val="ListNumber"/>
      </w:pPr>
      <w:r>
        <w:t>[Gestión del Riesgo](#8-gestión-del-riesgo)</w:t>
      </w:r>
    </w:p>
    <w:p>
      <w:pPr>
        <w:pStyle w:val="ListNumber"/>
      </w:pPr>
      <w:r>
        <w:t>[Rebalanceo y Mantenimiento](#9-rebalanceo-y-mantenimiento)</w:t>
      </w:r>
    </w:p>
    <w:p>
      <w:pPr>
        <w:pStyle w:val="ListNumber"/>
      </w:pPr>
      <w:r>
        <w:t>[Procedimientos Operativos](#10-procedimientos-operativos)</w:t>
      </w:r>
    </w:p>
    <w:p>
      <w:pPr>
        <w:pStyle w:val="ListNumber"/>
      </w:pPr>
      <w:r>
        <w:t>[Métricas y Evaluación](#11-métricas-y-evaluación)</w:t>
      </w:r>
    </w:p>
    <w:p>
      <w:pPr>
        <w:pStyle w:val="ListNumber"/>
      </w:pPr>
      <w:r>
        <w:t>[Anexos Técnicos](#12-anexos-técnicos)</w:t>
      </w:r>
    </w:p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1. FILOSOFÍA DEL SISTEMA</w:t>
      </w:r>
    </w:p>
    <w:p>
      <w:pPr>
        <w:pStyle w:val="Heading2"/>
      </w:pPr>
      <w:r>
        <w:rPr>
          <w:color w:val="004C99"/>
          <w:sz w:val="28"/>
        </w:rPr>
        <w:t>1.1 Declaración de Propósito</w:t>
      </w:r>
    </w:p>
    <w:p>
      <w:r>
        <w:t>OMNICAPITAL es un sistema de gestión de capital diseñado para generar rendimientos superiores al mercado mediante la combinación sistemática de:</w:t>
      </w:r>
    </w:p>
    <w:p>
      <w:pPr>
        <w:pStyle w:val="ListBullet"/>
      </w:pPr>
      <w:r>
        <w:t>**Análisis Fundamental Cuantitativo**: Identificación de empresas de alta calidad a precios razonables</w:t>
      </w:r>
    </w:p>
    <w:p>
      <w:pPr>
        <w:pStyle w:val="ListBullet"/>
      </w:pPr>
      <w:r>
        <w:t>**Timing Algorítmico Preciso**: Explotación de anomalías temporales de corto plazo</w:t>
      </w:r>
    </w:p>
    <w:p>
      <w:pPr>
        <w:pStyle w:val="ListBullet"/>
      </w:pPr>
      <w:r>
        <w:t>**Gestión de Riesgo Dinámica**: Protección del capital mediante diversificación y sizing adaptativo</w:t>
      </w:r>
    </w:p>
    <w:p>
      <w:pPr>
        <w:pStyle w:val="Heading2"/>
      </w:pPr>
      <w:r>
        <w:rPr>
          <w:color w:val="004C99"/>
          <w:sz w:val="28"/>
        </w:rPr>
        <w:t>1.2 Creencias Fundamentales</w:t>
      </w:r>
    </w:p>
    <w:p>
      <w:pPr>
        <w:pStyle w:val="ListNumber"/>
      </w:pPr>
      <w:r>
        <w:t>**Los fundamentales importan a largo plazo**: Las empresas con buenos ratios de valor y calidad superan a las de baja calidad en horizontes de 1-3 años</w:t>
      </w:r>
    </w:p>
    <w:p>
      <w:pPr>
        <w:pStyle w:val="ListNumber"/>
      </w:pPr>
      <w:r>
        <w:t>**El timing importa a corto plazo**: El período overnight (cierre a apertura siguiente) contiene premios sistemáticos no explicados por modelos clásicos</w:t>
      </w:r>
    </w:p>
    <w:p>
      <w:pPr>
        <w:pStyle w:val="ListNumber"/>
      </w:pPr>
      <w:r>
        <w:t>**La volatilidad es predecible**: La volatilidad reciente predice la volatilidad futura mejor que los retornos</w:t>
      </w:r>
    </w:p>
    <w:p>
      <w:pPr>
        <w:pStyle w:val="ListNumber"/>
      </w:pPr>
      <w:r>
        <w:t>**La diversificación es la única protección real**: Ningún activo individual debe representar más del 20% del portafolio</w:t>
      </w:r>
    </w:p>
    <w:p>
      <w:pPr>
        <w:pStyle w:val="ListNumber"/>
      </w:pPr>
      <w:r>
        <w:t>**Las pérdidas se controlan por sizing, no por stops**: Es mejor reducir exposición que depender de órdenes de stop que pueden fallar en gap-downs</w:t>
      </w:r>
    </w:p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2. PRINCIPIOS FUNDAMENTALES</w:t>
      </w:r>
    </w:p>
    <w:p>
      <w:pPr>
        <w:pStyle w:val="Heading2"/>
      </w:pPr>
      <w:r>
        <w:rPr>
          <w:color w:val="004C99"/>
          <w:sz w:val="28"/>
        </w:rPr>
        <w:t>2.1 Regla de Oro #1: Preservación de Capital</w:t>
      </w:r>
    </w:p>
    <w:p>
      <w:r/>
      <w:r>
        <w:rPr>
          <w:b/>
        </w:rPr>
        <w:t>ANTE LA DUDA, REDUCIR EXPOSICIÓN.</w:t>
      </w:r>
      <w:r/>
    </w:p>
    <w:p>
      <w:r>
        <w:t>Ninguna oportunidad justifica poner en riesgo más del 5% del capital en una sola posición.</w:t>
      </w:r>
    </w:p>
    <w:p>
      <w:pPr>
        <w:pStyle w:val="Heading2"/>
      </w:pPr>
      <w:r>
        <w:rPr>
          <w:color w:val="004C99"/>
          <w:sz w:val="28"/>
        </w:rPr>
        <w:t>2.2 Regla de Oro #2: Disciplina Mecánica</w:t>
      </w:r>
    </w:p>
    <w:p>
      <w:r/>
      <w:r>
        <w:rPr>
          <w:b/>
        </w:rPr>
        <w:t>EL SISTEMA NO DEBE SER OVERRIDEADO POR JUICIO DISCRECIONAL.</w:t>
      </w:r>
      <w:r/>
    </w:p>
    <w:p>
      <w:r>
        <w:t>Una vez establecidos los parámetros, el sistema opera sin intervención humana excepto en casos de:</w:t>
      </w:r>
    </w:p>
    <w:p>
      <w:pPr>
        <w:pStyle w:val="ListBullet"/>
      </w:pPr>
      <w:r>
        <w:t>Falla técnica catastrófica</w:t>
      </w:r>
    </w:p>
    <w:p>
      <w:pPr>
        <w:pStyle w:val="ListBullet"/>
      </w:pPr>
      <w:r>
        <w:t>Evento de mercado de cola negra (black swan) no modelado</w:t>
      </w:r>
    </w:p>
    <w:p>
      <w:pPr>
        <w:pStyle w:val="ListBullet"/>
      </w:pPr>
      <w:r>
        <w:t>Cambio regulatorio que invalide la estrategia</w:t>
      </w:r>
    </w:p>
    <w:p>
      <w:pPr>
        <w:pStyle w:val="Heading2"/>
      </w:pPr>
      <w:r>
        <w:rPr>
          <w:color w:val="004C99"/>
          <w:sz w:val="28"/>
        </w:rPr>
        <w:t>2.3 Regla de Oro #3: Transparencia Total</w:t>
      </w:r>
    </w:p>
    <w:p>
      <w:r/>
      <w:r>
        <w:rPr>
          <w:b/>
        </w:rPr>
        <w:t>CADA DECISIÓN DEBE SER AUDITABLE Y REPRODUCIBLE.</w:t>
      </w:r>
      <w:r/>
    </w:p>
    <w:p>
      <w:pPr>
        <w:pStyle w:val="ListBullet"/>
      </w:pPr>
      <w:r>
        <w:t>Todas las señales deben quedar registradas con timestamp</w:t>
      </w:r>
    </w:p>
    <w:p>
      <w:pPr>
        <w:pStyle w:val="ListBullet"/>
      </w:pPr>
      <w:r>
        <w:t>Todos los cálculos deben ser reproducibles con los mismos datos</w:t>
      </w:r>
    </w:p>
    <w:p>
      <w:pPr>
        <w:pStyle w:val="ListBullet"/>
      </w:pPr>
      <w:r>
        <w:t>Todos los cambios al sistema deben versionarse</w:t>
      </w:r>
    </w:p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3. ESTRUCTURA DEL UNIVERSO DE INVERSIÓN</w:t>
      </w:r>
    </w:p>
    <w:p>
      <w:pPr>
        <w:pStyle w:val="Heading2"/>
      </w:pPr>
      <w:r>
        <w:rPr>
          <w:color w:val="004C99"/>
          <w:sz w:val="28"/>
        </w:rPr>
        <w:t>3.1 Definición del Universo</w:t>
      </w:r>
    </w:p>
    <w:p>
      <w:r>
        <w:t>El universo de inversión consiste exactamente en los siguientes 40 símbolos del S&amp;P 500: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AAPL - Apple Inc.</w:t>
        <w:br/>
        <w:t>MSFT - Microsoft Corporation</w:t>
        <w:br/>
        <w:t>AMZN - Amazon.com Inc.</w:t>
        <w:br/>
        <w:t>GOOGL - Alphabet Inc. (Class A)</w:t>
        <w:br/>
        <w:t>META - Meta Platforms Inc.</w:t>
        <w:br/>
        <w:t>NVDA - NVIDIA Corporation</w:t>
        <w:br/>
        <w:t>TSLA - Tesla Inc.</w:t>
        <w:br/>
        <w:t>AVGO - Broadcom Inc.</w:t>
        <w:br/>
        <w:t>WMT - Walmart Inc.</w:t>
        <w:br/>
        <w:t>JPM - JPMorgan Chase &amp; Co.</w:t>
        <w:br/>
        <w:t>V - Visa Inc.</w:t>
        <w:br/>
        <w:t>MA - Mastercard Inc.</w:t>
        <w:br/>
        <w:t>UNH - UnitedHealth Group</w:t>
        <w:br/>
        <w:t>HD - Home Depot Inc.</w:t>
        <w:br/>
        <w:t>PG - Procter &amp; Gamble</w:t>
        <w:br/>
        <w:t>BAC - Bank of America</w:t>
        <w:br/>
        <w:t>KO - Coca-Cola Company</w:t>
        <w:br/>
        <w:t>PEP - PepsiCo Inc.</w:t>
        <w:br/>
        <w:t>MRK - Merck &amp; Co.</w:t>
        <w:br/>
        <w:t>ABBV - AbbVie Inc.</w:t>
        <w:br/>
        <w:t>PFE - Pfizer Inc.</w:t>
        <w:br/>
        <w:t>JNJ - Johnson &amp; Johnson</w:t>
        <w:br/>
        <w:t>CVX - Chevron Corporation</w:t>
        <w:br/>
        <w:t>XOM - Exxon Mobil Corp.</w:t>
        <w:br/>
        <w:t>TMO - Thermo Fisher Scientific</w:t>
        <w:br/>
        <w:t>ABT - Abbott Laboratories</w:t>
        <w:br/>
        <w:t>CRM - Salesforce Inc.</w:t>
        <w:br/>
        <w:t>ADBE - Adobe Inc.</w:t>
        <w:br/>
        <w:t>ACN - Accenture plc</w:t>
        <w:br/>
        <w:t>COST - Costco Wholesale</w:t>
        <w:br/>
        <w:t>NKE - Nike Inc.</w:t>
        <w:br/>
        <w:t>DIS - Walt Disney Company</w:t>
        <w:br/>
        <w:t>VZ - Verizon Communications</w:t>
        <w:br/>
        <w:t>WFC - Wells Fargo &amp; Co.</w:t>
        <w:br/>
        <w:t>TXN - Texas Instruments</w:t>
        <w:br/>
        <w:t>DHR - Danaher Corporation</w:t>
        <w:br/>
        <w:t>PM - Philip Morris International</w:t>
        <w:br/>
        <w:t>NEE - NextEra Energy</w:t>
        <w:br/>
        <w:t>AMD - Advanced Micro Devices</w:t>
        <w:br/>
        <w:t>BRK-B - Berkshire Hathaway (Class B)</w:t>
      </w:r>
    </w:p>
    <w:p>
      <w:pPr>
        <w:pStyle w:val="Heading2"/>
      </w:pPr>
      <w:r>
        <w:rPr>
          <w:color w:val="004C99"/>
          <w:sz w:val="28"/>
        </w:rPr>
        <w:t>3.2 Criterios de Inclusión en el Universo</w:t>
      </w:r>
    </w:p>
    <w:p>
      <w:r>
        <w:t>Un símbolo debe cumplir TODOS los siguientes criterios:</w:t>
      </w:r>
    </w:p>
    <w:p>
      <w:pPr>
        <w:pStyle w:val="ListNumber"/>
      </w:pPr>
      <w:r>
        <w:t>**Capitalización**: &gt; $50B (Large Cap)</w:t>
      </w:r>
    </w:p>
    <w:p>
      <w:pPr>
        <w:pStyle w:val="ListNumber"/>
      </w:pPr>
      <w:r>
        <w:t>**Liquidez**: Volumen diario promedio &gt; $100M</w:t>
      </w:r>
    </w:p>
    <w:p>
      <w:pPr>
        <w:pStyle w:val="ListNumber"/>
      </w:pPr>
      <w:r>
        <w:t>**Antigüedad**: Cotización pública &gt; 10 años</w:t>
      </w:r>
    </w:p>
    <w:p>
      <w:pPr>
        <w:pStyle w:val="ListNumber"/>
      </w:pPr>
      <w:r>
        <w:t>**Sector**: Diversificación mínima de 8 sectores diferentes</w:t>
      </w:r>
    </w:p>
    <w:p>
      <w:pPr>
        <w:pStyle w:val="ListNumber"/>
      </w:pPr>
      <w:r>
        <w:t>**Estado**: No en bancarrota, no en proceso de fusión/acquisición</w:t>
      </w:r>
    </w:p>
    <w:p>
      <w:pPr>
        <w:pStyle w:val="Heading2"/>
      </w:pPr>
      <w:r>
        <w:rPr>
          <w:color w:val="004C99"/>
          <w:sz w:val="28"/>
        </w:rPr>
        <w:t>3.3 Procedimiento de Revisión del Universo</w:t>
      </w:r>
    </w:p>
    <w:p>
      <w:r/>
      <w:r>
        <w:rPr>
          <w:b/>
        </w:rPr>
        <w:t>Frecuencia:</w:t>
      </w:r>
      <w:r>
        <w:t xml:space="preserve"> Trimestral (marzo, junio, septiembre, diciembre)</w:t>
      </w:r>
    </w:p>
    <w:p>
      <w:r/>
      <w:r>
        <w:rPr>
          <w:b/>
        </w:rPr>
        <w:t>Proceso:</w:t>
      </w:r>
      <w:r/>
    </w:p>
    <w:p>
      <w:pPr>
        <w:pStyle w:val="ListNumber"/>
      </w:pPr>
      <w:r>
        <w:t>Evaluar cada símbolo contra los criterios de inclusión</w:t>
      </w:r>
    </w:p>
    <w:p>
      <w:pPr>
        <w:pStyle w:val="ListNumber"/>
      </w:pPr>
      <w:r>
        <w:t>Si un símbolo falla 2+ criterios durante 3 meses consecutivos, se marca para revisión</w:t>
      </w:r>
    </w:p>
    <w:p>
      <w:pPr>
        <w:pStyle w:val="ListNumber"/>
      </w:pPr>
      <w:r>
        <w:t>El reemplazo debe cumplir TODOS los criterios y mantener la diversidad sectorial</w:t>
      </w:r>
    </w:p>
    <w:p>
      <w:pPr>
        <w:pStyle w:val="ListNumber"/>
      </w:pPr>
      <w:r>
        <w:t>Los cambios se implementan en el primer día de trading del mes siguiente</w:t>
      </w:r>
    </w:p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4. METODOLOGÍA DE SELECCIÓN DE ACTIVOS</w:t>
      </w:r>
    </w:p>
    <w:p>
      <w:pPr>
        <w:pStyle w:val="Heading2"/>
      </w:pPr>
      <w:r>
        <w:rPr>
          <w:color w:val="004C99"/>
          <w:sz w:val="28"/>
        </w:rPr>
        <w:t>4.1 Frecuencia de Selección</w:t>
      </w:r>
    </w:p>
    <w:p>
      <w:r>
        <w:t xml:space="preserve">La selección de activos se realiza </w:t>
      </w:r>
      <w:r>
        <w:rPr>
          <w:b/>
        </w:rPr>
        <w:t>mensualmente</w:t>
      </w:r>
      <w:r>
        <w:t>, exactamente cada 21 días hábiles.</w:t>
      </w:r>
    </w:p>
    <w:p>
      <w:pPr>
        <w:pStyle w:val="Heading2"/>
      </w:pPr>
      <w:r>
        <w:rPr>
          <w:color w:val="004C99"/>
          <w:sz w:val="28"/>
        </w:rPr>
        <w:t>4.2 Número de Posiciones</w:t>
      </w:r>
    </w:p>
    <w:p>
      <w:r>
        <w:t xml:space="preserve">El sistema mantiene exactamente </w:t>
      </w:r>
      <w:r>
        <w:rPr>
          <w:b/>
        </w:rPr>
        <w:t>10 posiciones simultáneas</w:t>
      </w:r>
      <w:r>
        <w:t xml:space="preserve"> en todo momento (salvo períodos de transición).</w:t>
      </w:r>
    </w:p>
    <w:p>
      <w:pPr>
        <w:pStyle w:val="Heading2"/>
      </w:pPr>
      <w:r>
        <w:rPr>
          <w:color w:val="004C99"/>
          <w:sz w:val="28"/>
        </w:rPr>
        <w:t>4.3 Proceso de Selección Paso a Paso</w:t>
      </w:r>
    </w:p>
    <w:p>
      <w:pPr>
        <w:pStyle w:val="Heading3"/>
      </w:pPr>
      <w:r>
        <w:rPr>
          <w:color w:val="336699"/>
          <w:sz w:val="24"/>
        </w:rPr>
        <w:t>Paso 1: Filtrado del Universo (Día de Rebalanceo)</w:t>
      </w:r>
    </w:p>
    <w:p>
      <w:r>
        <w:t>Para cada símbolo en el universo: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SI (precio &gt; 0) Y (volumen_20d &gt; 1,000,000) Y (datos_fundamentales_disponibles):</w:t>
        <w:br/>
        <w:t xml:space="preserve">    INCLUIR en evaluación</w:t>
        <w:br/>
        <w:t>SINO:</w:t>
        <w:br/>
        <w:t xml:space="preserve">    EXCLUIR de evaluación</w:t>
      </w:r>
    </w:p>
    <w:p>
      <w:pPr>
        <w:pStyle w:val="Heading3"/>
      </w:pPr>
      <w:r>
        <w:rPr>
          <w:color w:val="336699"/>
          <w:sz w:val="24"/>
        </w:rPr>
        <w:t>Paso 2: Cálculo de Scores (Sección 5)</w:t>
      </w:r>
    </w:p>
    <w:p>
      <w:r>
        <w:t>Calcular para cada símbolo válido:</w:t>
      </w:r>
    </w:p>
    <w:p>
      <w:pPr>
        <w:pStyle w:val="ListBullet"/>
      </w:pPr>
      <w:r>
        <w:t>Value Score (VS)</w:t>
      </w:r>
    </w:p>
    <w:p>
      <w:pPr>
        <w:pStyle w:val="ListBullet"/>
      </w:pPr>
      <w:r>
        <w:t>Quality Score (QS)</w:t>
      </w:r>
    </w:p>
    <w:p>
      <w:pPr>
        <w:pStyle w:val="ListBullet"/>
      </w:pPr>
      <w:r>
        <w:t>Momentum Score (MS)</w:t>
      </w:r>
    </w:p>
    <w:p>
      <w:pPr>
        <w:pStyle w:val="ListBullet"/>
      </w:pPr>
      <w:r>
        <w:t>Composite Score (CS)</w:t>
      </w:r>
    </w:p>
    <w:p>
      <w:pPr>
        <w:pStyle w:val="Heading3"/>
      </w:pPr>
      <w:r>
        <w:rPr>
          <w:color w:val="336699"/>
          <w:sz w:val="24"/>
        </w:rPr>
        <w:t>Paso 3: Ranking y Selección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1. Ordenar todos los símbolos por Composite Score descendente</w:t>
        <w:br/>
        <w:t>2. Seleccionar los PRIMEROS 10 símbolos de la lista ordenada</w:t>
        <w:br/>
        <w:t>3. Si hay menos de 10 símbolos válidos, operar con los disponibles</w:t>
        <w:br/>
        <w:t>4. Si hay empate en el puesto 10, seleccionar por mayor Market Cap</w:t>
      </w:r>
    </w:p>
    <w:p>
      <w:pPr>
        <w:pStyle w:val="Heading3"/>
      </w:pPr>
      <w:r>
        <w:rPr>
          <w:color w:val="336699"/>
          <w:sz w:val="24"/>
        </w:rPr>
        <w:t>Paso 4: Asignación de Pesos (Sección 6.3)</w:t>
      </w:r>
    </w:p>
    <w:p>
      <w:r>
        <w:t>Para los 10 símbolos seleccionados, calcular pesos por Risk Parity.</w:t>
      </w:r>
    </w:p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5. SISTEMA DE PUNTUACIÓN (SCORING)</w:t>
      </w:r>
    </w:p>
    <w:p>
      <w:pPr>
        <w:pStyle w:val="Heading2"/>
      </w:pPr>
      <w:r>
        <w:rPr>
          <w:color w:val="004C99"/>
          <w:sz w:val="28"/>
        </w:rPr>
        <w:t>5.1 Value Score (Peso: 50%)</w:t>
      </w:r>
    </w:p>
    <w:p>
      <w:pPr>
        <w:pStyle w:val="Heading3"/>
      </w:pPr>
      <w:r>
        <w:rPr>
          <w:color w:val="336699"/>
          <w:sz w:val="24"/>
        </w:rPr>
        <w:t>5.1.1 Componentes del Value Score</w:t>
      </w:r>
    </w:p>
    <w:p>
      <w:r/>
      <w:r>
        <w:rPr>
          <w:b/>
        </w:rPr>
        <w:t>A. P/E Score (50% del Value Score)</w:t>
      </w:r>
      <w:r/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pe = trailingPE o forwardPE del activo</w:t>
        <w:br/>
        <w:t>pe = max(0.1, min(pe, 100))  # Limitar entre 0.1 y 100</w:t>
        <w:br/>
        <w:br/>
        <w:t>IF pe &lt;= 0:</w:t>
        <w:br/>
        <w:t xml:space="preserve">    pe_score = 0</w:t>
        <w:br/>
        <w:t>ELIF pe &lt;= 10:</w:t>
        <w:br/>
        <w:t xml:space="preserve">    pe_score = 1.0</w:t>
        <w:br/>
        <w:t>ELIF pe &gt;= 30:</w:t>
        <w:br/>
        <w:t xml:space="preserve">    pe_score = 0</w:t>
        <w:br/>
        <w:t>ELSE:</w:t>
        <w:br/>
        <w:t xml:space="preserve">    pe_score = (30 - pe) / 30</w:t>
      </w:r>
    </w:p>
    <w:p>
      <w:r/>
      <w:r>
        <w:rPr>
          <w:b/>
        </w:rPr>
        <w:t>B. P/B Score (30% del Value Score)</w:t>
      </w:r>
      <w:r/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pb = priceToBook del activo</w:t>
        <w:br/>
        <w:t>pb = max(0.1, min(pb, 20))  # Limitar entre 0.1 y 20</w:t>
        <w:br/>
        <w:br/>
        <w:t>IF pb &lt;= 1:</w:t>
        <w:br/>
        <w:t xml:space="preserve">    pb_score = 1.0</w:t>
        <w:br/>
        <w:t>ELIF pb &gt;= 5:</w:t>
        <w:br/>
        <w:t xml:space="preserve">    pb_score = 0</w:t>
        <w:br/>
        <w:t>ELSE:</w:t>
        <w:br/>
        <w:t xml:space="preserve">    pb_score = (5 - pb) / 5</w:t>
      </w:r>
    </w:p>
    <w:p>
      <w:r/>
      <w:r>
        <w:rPr>
          <w:b/>
        </w:rPr>
        <w:t>C. P/S Score (20% del Value Score)</w:t>
      </w:r>
      <w:r/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ps = priceToSalesTrailing12Months del activo</w:t>
        <w:br/>
        <w:t>ps = max(0.1, min(ps, 20))  # Limitar entre 0.1 y 20</w:t>
        <w:br/>
        <w:br/>
        <w:t>IF ps &lt;= 1:</w:t>
        <w:br/>
        <w:t xml:space="preserve">    ps_score = 1.0</w:t>
        <w:br/>
        <w:t>ELIF ps &gt;= 5:</w:t>
        <w:br/>
        <w:t xml:space="preserve">    ps_score = 0</w:t>
        <w:br/>
        <w:t>ELSE:</w:t>
        <w:br/>
        <w:t xml:space="preserve">    ps_score = (5 - ps) / 5</w:t>
      </w:r>
    </w:p>
    <w:p>
      <w:pPr>
        <w:pStyle w:val="Heading3"/>
      </w:pPr>
      <w:r>
        <w:rPr>
          <w:color w:val="336699"/>
          <w:sz w:val="24"/>
        </w:rPr>
        <w:t>5.1.2 Fórmula Final Value Score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Value Score = (PE_score × 0.50) + (PB_score × 0.30) + (PS_score × 0.20)</w:t>
      </w:r>
    </w:p>
    <w:p>
      <w:r>
        <w:t>Rango: [0.0, 1.0]</w:t>
      </w:r>
    </w:p>
    <w:p>
      <w:pPr>
        <w:pStyle w:val="Heading2"/>
      </w:pPr>
      <w:r>
        <w:rPr>
          <w:color w:val="004C99"/>
          <w:sz w:val="28"/>
        </w:rPr>
        <w:t>5.2 Quality Score (Peso: 25%)</w:t>
      </w:r>
    </w:p>
    <w:p>
      <w:pPr>
        <w:pStyle w:val="Heading3"/>
      </w:pPr>
      <w:r>
        <w:rPr>
          <w:color w:val="336699"/>
          <w:sz w:val="24"/>
        </w:rPr>
        <w:t>5.2.1 Componentes del Quality Score</w:t>
      </w:r>
    </w:p>
    <w:p>
      <w:r/>
      <w:r>
        <w:rPr>
          <w:b/>
        </w:rPr>
        <w:t>A. ROE Score (60% del Quality Score)</w:t>
      </w:r>
      <w:r/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roe = returnOnEquity del activo</w:t>
        <w:br/>
        <w:br/>
        <w:t>IF isinstance(roe, str):</w:t>
        <w:br/>
        <w:t xml:space="preserve">    roe = 0.1</w:t>
        <w:br/>
        <w:br/>
        <w:t>roe = max(-0.5, min(roe, 1.0))  # Limitar entre -50% y 100%</w:t>
        <w:br/>
        <w:br/>
        <w:t>IF roe &lt;= 0:</w:t>
        <w:br/>
        <w:t xml:space="preserve">    roe_score = 0</w:t>
        <w:br/>
        <w:t>ELIF roe &gt;= 0.20:</w:t>
        <w:br/>
        <w:t xml:space="preserve">    roe_score = 1.0</w:t>
        <w:br/>
        <w:t>ELSE:</w:t>
        <w:br/>
        <w:t xml:space="preserve">    roe_score = roe / 0.20</w:t>
      </w:r>
    </w:p>
    <w:p>
      <w:r/>
      <w:r>
        <w:rPr>
          <w:b/>
        </w:rPr>
        <w:t>B. Profit Margin Score (40% del Quality Score)</w:t>
      </w:r>
      <w:r/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margin = profitMargins del activo</w:t>
        <w:br/>
        <w:br/>
        <w:t>IF isinstance(margin, str):</w:t>
        <w:br/>
        <w:t xml:space="preserve">    margin = 0.1</w:t>
        <w:br/>
        <w:br/>
        <w:t>margin = max(-0.5, min(margin, 1.0))  # Limitar entre -50% y 100%</w:t>
        <w:br/>
        <w:br/>
        <w:t>IF margin &lt;= 0:</w:t>
        <w:br/>
        <w:t xml:space="preserve">    margin_score = 0</w:t>
        <w:br/>
        <w:t>ELIF margin &gt;= 0.20:</w:t>
        <w:br/>
        <w:t xml:space="preserve">    margin_score = 1.0</w:t>
        <w:br/>
        <w:t>ELSE:</w:t>
        <w:br/>
        <w:t xml:space="preserve">    margin_score = margin / 0.20</w:t>
      </w:r>
    </w:p>
    <w:p>
      <w:pPr>
        <w:pStyle w:val="Heading3"/>
      </w:pPr>
      <w:r>
        <w:rPr>
          <w:color w:val="336699"/>
          <w:sz w:val="24"/>
        </w:rPr>
        <w:t>5.2.2 Fórmula Final Quality Score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Quality Score = (ROE_score × 0.60) + (Margin_score × 0.40)</w:t>
      </w:r>
    </w:p>
    <w:p>
      <w:r>
        <w:t>Rango: [0.0, 1.0]</w:t>
      </w:r>
    </w:p>
    <w:p>
      <w:pPr>
        <w:pStyle w:val="Heading2"/>
      </w:pPr>
      <w:r>
        <w:rPr>
          <w:color w:val="004C99"/>
          <w:sz w:val="28"/>
        </w:rPr>
        <w:t>5.3 Momentum Score (Peso: 25%)</w:t>
      </w:r>
    </w:p>
    <w:p>
      <w:pPr>
        <w:pStyle w:val="Heading3"/>
      </w:pPr>
      <w:r>
        <w:rPr>
          <w:color w:val="336699"/>
          <w:sz w:val="24"/>
        </w:rPr>
        <w:t>5.3.1 Cálculo de Retornos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# Obtener precios de cierre</w:t>
        <w:br/>
        <w:t>cierres = precios de cierre últimos 60 días</w:t>
        <w:br/>
        <w:br/>
        <w:t>IF len(cierres) &lt; 60:</w:t>
        <w:br/>
        <w:t xml:space="preserve">    retorno_1m = 0</w:t>
        <w:br/>
        <w:t xml:space="preserve">    retorno_3m = 0</w:t>
        <w:br/>
        <w:t>ELSE:</w:t>
        <w:br/>
        <w:t xml:space="preserve">    retorno_1m = (cierres[-1] - cierres[-20]) / cierres[-20]</w:t>
        <w:br/>
        <w:t xml:space="preserve">    retorno_3m = (cierres[-1] - cierres[-60]) / cierres[-60]</w:t>
      </w:r>
    </w:p>
    <w:p>
      <w:pPr>
        <w:pStyle w:val="Heading3"/>
      </w:pPr>
      <w:r>
        <w:rPr>
          <w:color w:val="336699"/>
          <w:sz w:val="24"/>
        </w:rPr>
        <w:t>5.3.2 Fórmula de Momentum Score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# Combinar retornos (1M: 40%, 3M: 60%)</w:t>
        <w:br/>
        <w:t>momentum_raw = (retorno_1m × 0.40) + (retorno_3m × 0.60)</w:t>
        <w:br/>
        <w:br/>
        <w:t># Normalizar a [0, 1]</w:t>
        <w:br/>
        <w:t># Rango esperado: -20% a +40% (ajustable)</w:t>
        <w:br/>
        <w:t>momentum_min = -0.20</w:t>
        <w:br/>
        <w:t>momentum_max = 0.40</w:t>
        <w:br/>
        <w:br/>
        <w:t>IF momentum_raw &lt;= momentum_min:</w:t>
        <w:br/>
        <w:t xml:space="preserve">    momentum_score = 0</w:t>
        <w:br/>
        <w:t>ELIF momentum_raw &gt;= momentum_max:</w:t>
        <w:br/>
        <w:t xml:space="preserve">    momentum_score = 1.0</w:t>
        <w:br/>
        <w:t>ELSE:</w:t>
        <w:br/>
        <w:t xml:space="preserve">    momentum_score = (momentum_raw - momentum_min) / (momentum_max - momentum_min)</w:t>
      </w:r>
    </w:p>
    <w:p>
      <w:r>
        <w:t>Rango: [0.0, 1.0]</w:t>
      </w:r>
    </w:p>
    <w:p>
      <w:pPr>
        <w:pStyle w:val="Heading2"/>
      </w:pPr>
      <w:r>
        <w:rPr>
          <w:color w:val="004C99"/>
          <w:sz w:val="28"/>
        </w:rPr>
        <w:t>5.4 Composite Score</w:t>
      </w:r>
    </w:p>
    <w:p>
      <w:pPr>
        <w:pStyle w:val="Heading3"/>
      </w:pPr>
      <w:r>
        <w:rPr>
          <w:color w:val="336699"/>
          <w:sz w:val="24"/>
        </w:rPr>
        <w:t>5.4.1 Fórmula Final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 xml:space="preserve">Composite Score = (Value Score × 0.50) + </w:t>
        <w:br/>
        <w:t xml:space="preserve">                  (Quality Score × 0.25) + </w:t>
        <w:br/>
        <w:t xml:space="preserve">                  (Momentum Score × 0.25)</w:t>
      </w:r>
    </w:p>
    <w:p>
      <w:r>
        <w:t>Rango: [0.0, 1.0]</w:t>
      </w:r>
    </w:p>
    <w:p>
      <w:pPr>
        <w:pStyle w:val="Heading3"/>
      </w:pPr>
      <w:r>
        <w:rPr>
          <w:color w:val="336699"/>
          <w:sz w:val="24"/>
        </w:rPr>
        <w:t>5.4.2 Interpretación del Composite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Rango</w:t>
            </w:r>
          </w:p>
        </w:tc>
        <w:tc>
          <w:tcPr>
            <w:tcW w:type="dxa" w:w="2880"/>
          </w:tcPr>
          <w:p>
            <w:r>
              <w:t>Interpretación</w:t>
            </w:r>
          </w:p>
        </w:tc>
        <w:tc>
          <w:tcPr>
            <w:tcW w:type="dxa" w:w="2880"/>
          </w:tcPr>
          <w:p>
            <w:r>
              <w:t>Acción</w:t>
            </w:r>
          </w:p>
        </w:tc>
      </w:tr>
      <w:tr>
        <w:tc>
          <w:tcPr>
            <w:tcW w:type="dxa" w:w="2880"/>
          </w:tcPr>
          <w:p>
            <w:r>
              <w:t>0.80 - 1.00</w:t>
            </w:r>
          </w:p>
        </w:tc>
        <w:tc>
          <w:tcPr>
            <w:tcW w:type="dxa" w:w="2880"/>
          </w:tcPr>
          <w:p>
            <w:r>
              <w:t>Excelente</w:t>
            </w:r>
          </w:p>
        </w:tc>
        <w:tc>
          <w:tcPr>
            <w:tcW w:type="dxa" w:w="2880"/>
          </w:tcPr>
          <w:p>
            <w:r>
              <w:t>Prioridad máxima</w:t>
            </w:r>
          </w:p>
        </w:tc>
      </w:tr>
      <w:tr>
        <w:tc>
          <w:tcPr>
            <w:tcW w:type="dxa" w:w="2880"/>
          </w:tcPr>
          <w:p>
            <w:r>
              <w:t>0.60 - 0.79</w:t>
            </w:r>
          </w:p>
        </w:tc>
        <w:tc>
          <w:tcPr>
            <w:tcW w:type="dxa" w:w="2880"/>
          </w:tcPr>
          <w:p>
            <w:r>
              <w:t>Bueno</w:t>
            </w:r>
          </w:p>
        </w:tc>
        <w:tc>
          <w:tcPr>
            <w:tcW w:type="dxa" w:w="2880"/>
          </w:tcPr>
          <w:p>
            <w:r>
              <w:t>Incluir en selección</w:t>
            </w:r>
          </w:p>
        </w:tc>
      </w:tr>
      <w:tr>
        <w:tc>
          <w:tcPr>
            <w:tcW w:type="dxa" w:w="2880"/>
          </w:tcPr>
          <w:p>
            <w:r>
              <w:t>0.40 - 0.59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Evaluar con cautela</w:t>
            </w:r>
          </w:p>
        </w:tc>
      </w:tr>
      <w:tr>
        <w:tc>
          <w:tcPr>
            <w:tcW w:type="dxa" w:w="2880"/>
          </w:tcPr>
          <w:p>
            <w:r>
              <w:t>0.20 - 0.39</w:t>
            </w:r>
          </w:p>
        </w:tc>
        <w:tc>
          <w:tcPr>
            <w:tcW w:type="dxa" w:w="2880"/>
          </w:tcPr>
          <w:p>
            <w:r>
              <w:t>Débil</w:t>
            </w:r>
          </w:p>
        </w:tc>
        <w:tc>
          <w:tcPr>
            <w:tcW w:type="dxa" w:w="2880"/>
          </w:tcPr>
          <w:p>
            <w:r>
              <w:t>Evitar</w:t>
            </w:r>
          </w:p>
        </w:tc>
      </w:tr>
      <w:tr>
        <w:tc>
          <w:tcPr>
            <w:tcW w:type="dxa" w:w="2880"/>
          </w:tcPr>
          <w:p>
            <w:r>
              <w:t>0.00 - 0.19</w:t>
            </w:r>
          </w:p>
        </w:tc>
        <w:tc>
          <w:tcPr>
            <w:tcW w:type="dxa" w:w="2880"/>
          </w:tcPr>
          <w:p>
            <w:r>
              <w:t>Muy débil</w:t>
            </w:r>
          </w:p>
        </w:tc>
        <w:tc>
          <w:tcPr>
            <w:tcW w:type="dxa" w:w="2880"/>
          </w:tcPr>
          <w:p>
            <w:r>
              <w:t>Excluir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6. GESTIÓN DE POSICIONES</w:t>
      </w:r>
    </w:p>
    <w:p>
      <w:pPr>
        <w:pStyle w:val="Heading2"/>
      </w:pPr>
      <w:r>
        <w:rPr>
          <w:color w:val="004C99"/>
          <w:sz w:val="28"/>
        </w:rPr>
        <w:t>6.1 Número de Posiciones</w:t>
      </w:r>
    </w:p>
    <w:p>
      <w:pPr>
        <w:pStyle w:val="ListBullet"/>
      </w:pPr>
      <w:r>
        <w:t>**Objetivo:** 10 posiciones simultáneas</w:t>
      </w:r>
    </w:p>
    <w:p>
      <w:pPr>
        <w:pStyle w:val="ListBullet"/>
      </w:pPr>
      <w:r>
        <w:t>**Mínimo:** 5 posiciones (si el universo válido es limitado)</w:t>
      </w:r>
    </w:p>
    <w:p>
      <w:pPr>
        <w:pStyle w:val="ListBullet"/>
      </w:pPr>
      <w:r>
        <w:t>**Máximo:** 10 posiciones (nunca exceder)</w:t>
      </w:r>
    </w:p>
    <w:p>
      <w:pPr>
        <w:pStyle w:val="Heading2"/>
      </w:pPr>
      <w:r>
        <w:rPr>
          <w:color w:val="004C99"/>
          <w:sz w:val="28"/>
        </w:rPr>
        <w:t>6.2 Capital Disponible para Posiciones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CAPITAL_TOTAL = $100,000 (o capital actual del portafolio)</w:t>
        <w:br/>
        <w:br/>
        <w:t>CASH_RESERVA = 5% del CAPITAL_TOTAL</w:t>
        <w:br/>
        <w:t>CAPITAL_OPERABLE = CAPITAL_TOTAL - CASH_RESERVA</w:t>
      </w:r>
    </w:p>
    <w:p>
      <w:r>
        <w:t>La reserva de cash del 5% se mantiene SIEMPRE disponible para:</w:t>
      </w:r>
    </w:p>
    <w:p>
      <w:pPr>
        <w:pStyle w:val="ListBullet"/>
      </w:pPr>
      <w:r>
        <w:t>Márgenes de mantenimiento</w:t>
      </w:r>
    </w:p>
    <w:p>
      <w:pPr>
        <w:pStyle w:val="ListBullet"/>
      </w:pPr>
      <w:r>
        <w:t>Oportunidades de rebalanceo</w:t>
      </w:r>
    </w:p>
    <w:p>
      <w:pPr>
        <w:pStyle w:val="ListBullet"/>
      </w:pPr>
      <w:r>
        <w:t>Protección contra gaps adversos</w:t>
      </w:r>
    </w:p>
    <w:p>
      <w:pPr>
        <w:pStyle w:val="Heading2"/>
      </w:pPr>
      <w:r>
        <w:rPr>
          <w:color w:val="004C99"/>
          <w:sz w:val="28"/>
        </w:rPr>
        <w:t>6.3 Risk Parity Sizing</w:t>
      </w:r>
    </w:p>
    <w:p>
      <w:pPr>
        <w:pStyle w:val="Heading3"/>
      </w:pPr>
      <w:r>
        <w:rPr>
          <w:color w:val="336699"/>
          <w:sz w:val="24"/>
        </w:rPr>
        <w:t>6.3.1 Cálculo de Volatilidad</w:t>
      </w:r>
    </w:p>
    <w:p>
      <w:r>
        <w:t>Para cada símbolo seleccionado: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def calcular_volatilidad(simbolo, lookback=20):</w:t>
        <w:br/>
        <w:t xml:space="preserve">    precios = datos[simbolo]['Close'][-lookback:]</w:t>
        <w:br/>
        <w:t xml:space="preserve">    </w:t>
        <w:br/>
        <w:t xml:space="preserve">    IF len(precios) &lt; lookback:</w:t>
        <w:br/>
        <w:t xml:space="preserve">        RETURN 0.20  # Default 20% anualizado</w:t>
        <w:br/>
        <w:t xml:space="preserve">    </w:t>
        <w:br/>
        <w:t xml:space="preserve">    retornos = diferencia_porcentual(precios)</w:t>
        <w:br/>
        <w:t xml:space="preserve">    volatilidad_diaria = desviacion_estandar(retornos)</w:t>
        <w:br/>
        <w:t xml:space="preserve">    volatilidad_anualizada = volatilidad_diaria × raiz_cuadrada(252)</w:t>
        <w:br/>
        <w:t xml:space="preserve">    </w:t>
        <w:br/>
        <w:t xml:space="preserve">    # Limitar entre 5% y 100%</w:t>
        <w:br/>
        <w:t xml:space="preserve">    RETURN max(0.05, min(volatilidad_anualizada, 1.00))</w:t>
      </w:r>
    </w:p>
    <w:p>
      <w:pPr>
        <w:pStyle w:val="Heading3"/>
      </w:pPr>
      <w:r>
        <w:rPr>
          <w:color w:val="336699"/>
          <w:sz w:val="24"/>
        </w:rPr>
        <w:t>6.3.2 Cálculo de Pesos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# Paso 1: Calcular inverso de volatilidad para cada símbolo</w:t>
        <w:br/>
        <w:t>inversos = {}</w:t>
        <w:br/>
        <w:t>PARA cada simbolo EN seleccionados:</w:t>
        <w:br/>
        <w:t xml:space="preserve">    vol = calcular_volatilidad(simbolo)</w:t>
        <w:br/>
        <w:t xml:space="preserve">    inversos[simbolo] = 1 / vol</w:t>
        <w:br/>
        <w:br/>
        <w:t># Paso 2: Normalizar</w:t>
        <w:br/>
        <w:t>suma_inversos = suma(inversos.values())</w:t>
        <w:br/>
        <w:br/>
        <w:t>pesos = {}</w:t>
        <w:br/>
        <w:t>PARA cada simbolo EN seleccionados:</w:t>
        <w:br/>
        <w:t xml:space="preserve">    pesos[simbolo] = inversos[simbolo] / suma_inversos</w:t>
      </w:r>
    </w:p>
    <w:p>
      <w:pPr>
        <w:pStyle w:val="Heading3"/>
      </w:pPr>
      <w:r>
        <w:rPr>
          <w:color w:val="336699"/>
          <w:sz w:val="24"/>
        </w:rPr>
        <w:t>6.3.3 Ejemplo de Cálculo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Símbolo</w:t>
            </w:r>
          </w:p>
        </w:tc>
        <w:tc>
          <w:tcPr>
            <w:tcW w:type="dxa" w:w="2160"/>
          </w:tcPr>
          <w:p>
            <w:r>
              <w:t>Volatilidad</w:t>
            </w:r>
          </w:p>
        </w:tc>
        <w:tc>
          <w:tcPr>
            <w:tcW w:type="dxa" w:w="2160"/>
          </w:tcPr>
          <w:p>
            <w:r>
              <w:t>Inverso</w:t>
            </w:r>
          </w:p>
        </w:tc>
        <w:tc>
          <w:tcPr>
            <w:tcW w:type="dxa" w:w="2160"/>
          </w:tcPr>
          <w:p>
            <w:r>
              <w:t>Peso Normalizado</w:t>
            </w:r>
          </w:p>
        </w:tc>
      </w:tr>
      <w:tr>
        <w:tc>
          <w:tcPr>
            <w:tcW w:type="dxa" w:w="2160"/>
          </w:tcPr>
          <w:p>
            <w:r>
              <w:t>BRK-B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6.67</w:t>
            </w:r>
          </w:p>
        </w:tc>
        <w:tc>
          <w:tcPr>
            <w:tcW w:type="dxa" w:w="2160"/>
          </w:tcPr>
          <w:p>
            <w:r>
              <w:t>18.5%</w:t>
            </w:r>
          </w:p>
        </w:tc>
      </w:tr>
      <w:tr>
        <w:tc>
          <w:tcPr>
            <w:tcW w:type="dxa" w:w="2160"/>
          </w:tcPr>
          <w:p>
            <w:r>
              <w:t>VZ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5.56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</w:tr>
      <w:tr>
        <w:tc>
          <w:tcPr>
            <w:tcW w:type="dxa" w:w="2160"/>
          </w:tcPr>
          <w:p>
            <w:r>
              <w:t>BAC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**36.0**</w:t>
            </w:r>
          </w:p>
        </w:tc>
        <w:tc>
          <w:tcPr>
            <w:tcW w:type="dxa" w:w="2160"/>
          </w:tcPr>
          <w:p>
            <w:r>
              <w:t>**100%**</w:t>
            </w:r>
          </w:p>
        </w:tc>
      </w:tr>
    </w:tbl>
    <w:p>
      <w:pPr>
        <w:pStyle w:val="Heading2"/>
      </w:pPr>
      <w:r>
        <w:rPr>
          <w:color w:val="004C99"/>
          <w:sz w:val="28"/>
        </w:rPr>
        <w:t>6.4 Tamaño de Posición Individual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PARA cada simbolo EN seleccionados:</w:t>
        <w:br/>
        <w:t xml:space="preserve">    valor_posicion = CAPITAL_OPERABLE × pesos[simbolo]</w:t>
        <w:br/>
        <w:t xml:space="preserve">    </w:t>
        <w:br/>
        <w:t xml:space="preserve">    # Limitar a máximo 20% por posición</w:t>
        <w:br/>
        <w:t xml:space="preserve">    valor_maximo = CAPITAL_OPERABLE × 0.20</w:t>
        <w:br/>
        <w:t xml:space="preserve">    valor_posicion = min(valor_posicion, valor_maximo)</w:t>
        <w:br/>
        <w:t xml:space="preserve">    </w:t>
        <w:br/>
        <w:t xml:space="preserve">    # Calcular número de acciones</w:t>
        <w:br/>
        <w:t xml:space="preserve">    precio_entrada = precio_apertura(simbolo, fecha)</w:t>
        <w:br/>
        <w:t xml:space="preserve">    acciones = valor_posicion / precio_entrada</w:t>
        <w:br/>
        <w:t xml:space="preserve">    </w:t>
        <w:br/>
        <w:t xml:space="preserve">    # Redondear a entero (para acciones)</w:t>
        <w:br/>
        <w:t xml:space="preserve">    acciones = redondear_hacia_abajo(acciones)</w:t>
      </w:r>
    </w:p>
    <w:p>
      <w:pPr>
        <w:pStyle w:val="Heading2"/>
      </w:pPr>
      <w:r>
        <w:rPr>
          <w:color w:val="004C99"/>
          <w:sz w:val="28"/>
        </w:rPr>
        <w:t>6.5 Límites de Posición</w:t>
      </w:r>
    </w:p>
    <w:p>
      <w:r/>
      <w:r>
        <w:rPr>
          <w:b/>
        </w:rPr>
        <w:t>Límites Duros (nunca exceder):</w:t>
      </w:r>
      <w:r/>
    </w:p>
    <w:p>
      <w:pPr>
        <w:pStyle w:val="ListBullet"/>
      </w:pPr>
      <w:r>
        <w:t>Máximo por posición: 20% del capital</w:t>
      </w:r>
    </w:p>
    <w:p>
      <w:pPr>
        <w:pStyle w:val="ListBullet"/>
      </w:pPr>
      <w:r>
        <w:t>Mínimo por posición: $1,000 (o 1% del capital, el mayor)</w:t>
      </w:r>
    </w:p>
    <w:p>
      <w:pPr>
        <w:pStyle w:val="ListBullet"/>
      </w:pPr>
      <w:r>
        <w:t>Máximo por sector: 40% del capital</w:t>
      </w:r>
    </w:p>
    <w:p>
      <w:r/>
      <w:r>
        <w:rPr>
          <w:b/>
        </w:rPr>
        <w:t>Límites de Advertencia (revisar si se exceden):</w:t>
      </w:r>
      <w:r/>
    </w:p>
    <w:p>
      <w:pPr>
        <w:pStyle w:val="ListBullet"/>
      </w:pPr>
      <w:r>
        <w:t>Volatilidad de posición &gt; 40% anualizada</w:t>
      </w:r>
    </w:p>
    <w:p>
      <w:pPr>
        <w:pStyle w:val="ListBullet"/>
      </w:pPr>
      <w:r>
        <w:t>Correlación con portafolio &gt; 0.80</w:t>
      </w:r>
    </w:p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7. TIMING DE ENTRADA Y SALIDA</w:t>
      </w:r>
    </w:p>
    <w:p>
      <w:pPr>
        <w:pStyle w:val="Heading2"/>
      </w:pPr>
      <w:r>
        <w:rPr>
          <w:color w:val="004C99"/>
          <w:sz w:val="28"/>
        </w:rPr>
        <w:t>7.1 Duración del Hold</w:t>
      </w:r>
    </w:p>
    <w:p>
      <w:r/>
      <w:r>
        <w:rPr>
          <w:b/>
        </w:rPr>
        <w:t>TODAS las posiciones se mantienen exactamente 666 minutos.</w:t>
      </w:r>
      <w:r/>
    </w:p>
    <w:p>
      <w:r>
        <w:t>Equivalencias:</w:t>
      </w:r>
    </w:p>
    <w:p>
      <w:pPr>
        <w:pStyle w:val="ListBullet"/>
      </w:pPr>
      <w:r>
        <w:t>666 minutos = 11.1 horas</w:t>
      </w:r>
    </w:p>
    <w:p>
      <w:pPr>
        <w:pStyle w:val="ListBullet"/>
      </w:pPr>
      <w:r>
        <w:t>666 minutos = 1 día de trading (390 min) + 276 minutos del día siguiente</w:t>
      </w:r>
    </w:p>
    <w:p>
      <w:pPr>
        <w:pStyle w:val="ListBullet"/>
      </w:pPr>
      <w:r>
        <w:t>666 minutos = 1 overnight + 4.6 horas del día siguiente</w:t>
      </w:r>
    </w:p>
    <w:p>
      <w:pPr>
        <w:pStyle w:val="Heading2"/>
      </w:pPr>
      <w:r>
        <w:rPr>
          <w:color w:val="004C99"/>
          <w:sz w:val="28"/>
        </w:rPr>
        <w:t>7.2 Momento de Entrada</w:t>
      </w:r>
    </w:p>
    <w:p>
      <w:pPr>
        <w:pStyle w:val="Heading3"/>
      </w:pPr>
      <w:r>
        <w:rPr>
          <w:color w:val="336699"/>
          <w:sz w:val="24"/>
        </w:rPr>
        <w:t>7.2.1 Minuto de Entrada Aleatorio</w:t>
      </w:r>
    </w:p>
    <w:p>
      <w:r>
        <w:t>Para cada posición nueva: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# Semilla determinística pero diferente por símbolo/fecha</w:t>
        <w:br/>
        <w:t>semilla = hash(f"{simbolo}_{fecha}_{SEED_GLOBAL}")</w:t>
        <w:br/>
        <w:t>aleatorio.inicializar(semilla)</w:t>
        <w:br/>
        <w:br/>
        <w:t># Distribución de entrada:</w:t>
        <w:br/>
        <w:t># 60% probabilidad en horas de mayor liquidez:</w:t>
        <w:br/>
        <w:t>#   - 30% en primera hora (minutos 0-60)</w:t>
        <w:br/>
        <w:t>#   - 30% en última hora y media (minutos 270-389)</w:t>
        <w:br/>
        <w:t># 40% probabilidad en cualquier momento del día</w:t>
        <w:br/>
        <w:br/>
        <w:t>SI aleatorio.uniforme(0, 1) &lt; 0.6:</w:t>
        <w:br/>
        <w:t xml:space="preserve">    SI aleatorio.uniforme(0, 1) &lt; 0.5:</w:t>
        <w:br/>
        <w:t xml:space="preserve">        minuto_entrada = aleatorio.entero(0, 60)      # Apertura</w:t>
        <w:br/>
        <w:t xml:space="preserve">    SINO:</w:t>
        <w:br/>
        <w:t xml:space="preserve">        minuto_entrada = aleatorio.entero(270, 389)   # Cierre</w:t>
        <w:br/>
        <w:t>SINO:</w:t>
        <w:br/>
        <w:t xml:space="preserve">    minuto_entrada = aleatorio.entero(0, 389)         # Cualquier hora</w:t>
      </w:r>
    </w:p>
    <w:p>
      <w:pPr>
        <w:pStyle w:val="Heading3"/>
      </w:pPr>
      <w:r>
        <w:rPr>
          <w:color w:val="336699"/>
          <w:sz w:val="24"/>
        </w:rPr>
        <w:t>7.2.2 Precio de Entrada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PRECIO_ENTRADA = Precio de Apertura del día (Open)</w:t>
      </w:r>
    </w:p>
    <w:p>
      <w:r>
        <w:t>Nota: En implementación live, el precio de entrada sería el precio de mercado en el minuto específico.</w:t>
      </w:r>
    </w:p>
    <w:p>
      <w:pPr>
        <w:pStyle w:val="Heading2"/>
      </w:pPr>
      <w:r>
        <w:rPr>
          <w:color w:val="004C99"/>
          <w:sz w:val="28"/>
        </w:rPr>
        <w:t>7.3 Momento de Salida</w:t>
      </w:r>
    </w:p>
    <w:p>
      <w:pPr>
        <w:pStyle w:val="Heading3"/>
      </w:pPr>
      <w:r>
        <w:rPr>
          <w:color w:val="336699"/>
          <w:sz w:val="24"/>
        </w:rPr>
        <w:t>7.3.1 Cálculo de Fecha y Minuto de Salida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# Total de minutos desde entrada</w:t>
        <w:br/>
        <w:t>total_minutos = minuto_entrada + 666</w:t>
        <w:br/>
        <w:br/>
        <w:t># Días adicionales necesarios</w:t>
        <w:br/>
        <w:t>dias_adicionales = total_minutos // 390  # División entera</w:t>
        <w:br/>
        <w:t>minuto_salida = total_minutos % 390      # Resto</w:t>
        <w:br/>
        <w:br/>
        <w:t># Calcular fecha de salida (saltando fines de semana)</w:t>
        <w:br/>
        <w:t>fecha_salida = fecha_entrada</w:t>
        <w:br/>
        <w:t>contador_dias = 0</w:t>
        <w:br/>
        <w:br/>
        <w:t>MIENTRAS contador_dias &lt; dias_adicionales:</w:t>
        <w:br/>
        <w:t xml:space="preserve">    fecha_salida += 1 día</w:t>
        <w:br/>
        <w:t xml:space="preserve">    SI fecha_salida.es_dia_habil():</w:t>
        <w:br/>
        <w:t xml:space="preserve">        contador_dias += 1</w:t>
      </w:r>
    </w:p>
    <w:p>
      <w:pPr>
        <w:pStyle w:val="Heading3"/>
      </w:pPr>
      <w:r>
        <w:rPr>
          <w:color w:val="336699"/>
          <w:sz w:val="24"/>
        </w:rPr>
        <w:t>7.3.2 Precio de Salida (Simulación Intradía)</w:t>
      </w:r>
    </w:p>
    <w:p>
      <w:r>
        <w:t>Como no se dispone de datos intradía, se simula el precio de salida: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def simular_precio_salida(datos_dia, minuto_salida):</w:t>
        <w:br/>
        <w:t xml:space="preserve">    """</w:t>
        <w:br/>
        <w:t xml:space="preserve">    Simula el precio en un minuto específico del día.</w:t>
        <w:br/>
        <w:t xml:space="preserve">    """</w:t>
        <w:br/>
        <w:t xml:space="preserve">    open_p = datos_dia['Open']</w:t>
        <w:br/>
        <w:t xml:space="preserve">    high = datos_dia['High']</w:t>
        <w:br/>
        <w:t xml:space="preserve">    low = datos_dia['Low']</w:t>
        <w:br/>
        <w:t xml:space="preserve">    close = datos_dia['Close']</w:t>
        <w:br/>
        <w:t xml:space="preserve">    </w:t>
        <w:br/>
        <w:t xml:space="preserve">    # Progreso del día (0.0 a 1.0)</w:t>
        <w:br/>
        <w:t xml:space="preserve">    progreso = minuto_salida / 390</w:t>
        <w:br/>
        <w:t xml:space="preserve">    </w:t>
        <w:br/>
        <w:t xml:space="preserve">    # Precio base: interpolación lineal Open-Close</w:t>
        <w:br/>
        <w:t xml:space="preserve">    precio_base = open_p + (close - open_p) × progreso</w:t>
        <w:br/>
        <w:t xml:space="preserve">    </w:t>
        <w:br/>
        <w:t xml:space="preserve">    # Añadir variación basada en rango High-Low</w:t>
        <w:br/>
        <w:t xml:space="preserve">    SI high &gt; low:</w:t>
        <w:br/>
        <w:t xml:space="preserve">        # Semilla determinística para reproducibilidad</w:t>
        <w:br/>
        <w:t xml:space="preserve">        aleatorio.inicializar(int(precio_base × 10000) % 2^32)</w:t>
        <w:br/>
        <w:t xml:space="preserve">        ruido = aleatorio.uniforme(-0.3, 0.3)</w:t>
        <w:br/>
        <w:t xml:space="preserve">        variacion = (high - low) × ruido</w:t>
        <w:br/>
        <w:t xml:space="preserve">        precio = precio_base + variacion</w:t>
        <w:br/>
        <w:t xml:space="preserve">        </w:t>
        <w:br/>
        <w:t xml:space="preserve">        # Asegurar que está dentro del rango del día</w:t>
        <w:br/>
        <w:t xml:space="preserve">        RETURN max(low, min(high, precio))</w:t>
        <w:br/>
        <w:t xml:space="preserve">    SINO:</w:t>
        <w:br/>
        <w:t xml:space="preserve">        RETURN precio_base</w:t>
      </w:r>
    </w:p>
    <w:p>
      <w:pPr>
        <w:pStyle w:val="Heading2"/>
      </w:pPr>
      <w:r>
        <w:rPr>
          <w:color w:val="004C99"/>
          <w:sz w:val="28"/>
        </w:rPr>
        <w:t>7.4 Ejemplos de Timing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Entrada</w:t>
            </w:r>
          </w:p>
        </w:tc>
        <w:tc>
          <w:tcPr>
            <w:tcW w:type="dxa" w:w="1440"/>
          </w:tcPr>
          <w:p>
            <w:r>
              <w:t>Minuto Entrada</w:t>
            </w:r>
          </w:p>
        </w:tc>
        <w:tc>
          <w:tcPr>
            <w:tcW w:type="dxa" w:w="1440"/>
          </w:tcPr>
          <w:p>
            <w:r>
              <w:t>Minuto Total</w:t>
            </w:r>
          </w:p>
        </w:tc>
        <w:tc>
          <w:tcPr>
            <w:tcW w:type="dxa" w:w="1440"/>
          </w:tcPr>
          <w:p>
            <w:r>
              <w:t>Días Después</w:t>
            </w:r>
          </w:p>
        </w:tc>
        <w:tc>
          <w:tcPr>
            <w:tcW w:type="dxa" w:w="1440"/>
          </w:tcPr>
          <w:p>
            <w:r>
              <w:t>Minuto Salida</w:t>
            </w:r>
          </w:p>
        </w:tc>
        <w:tc>
          <w:tcPr>
            <w:tcW w:type="dxa" w:w="1440"/>
          </w:tcPr>
          <w:p>
            <w:r>
              <w:t>Salida</w:t>
            </w:r>
          </w:p>
        </w:tc>
      </w:tr>
      <w:tr>
        <w:tc>
          <w:tcPr>
            <w:tcW w:type="dxa" w:w="1440"/>
          </w:tcPr>
          <w:p>
            <w:r>
              <w:t>Lunes 9:30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666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276</w:t>
            </w:r>
          </w:p>
        </w:tc>
        <w:tc>
          <w:tcPr>
            <w:tcW w:type="dxa" w:w="1440"/>
          </w:tcPr>
          <w:p>
            <w:r>
              <w:t>Martes 14:06</w:t>
            </w:r>
          </w:p>
        </w:tc>
      </w:tr>
      <w:tr>
        <w:tc>
          <w:tcPr>
            <w:tcW w:type="dxa" w:w="1440"/>
          </w:tcPr>
          <w:p>
            <w:r>
              <w:t>Lunes 10:00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696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306</w:t>
            </w:r>
          </w:p>
        </w:tc>
        <w:tc>
          <w:tcPr>
            <w:tcW w:type="dxa" w:w="1440"/>
          </w:tcPr>
          <w:p>
            <w:r>
              <w:t>Martes 14:36</w:t>
            </w:r>
          </w:p>
        </w:tc>
      </w:tr>
      <w:tr>
        <w:tc>
          <w:tcPr>
            <w:tcW w:type="dxa" w:w="1440"/>
          </w:tcPr>
          <w:p>
            <w:r>
              <w:t>Lunes 15:00</w:t>
            </w:r>
          </w:p>
        </w:tc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996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216</w:t>
            </w:r>
          </w:p>
        </w:tc>
        <w:tc>
          <w:tcPr>
            <w:tcW w:type="dxa" w:w="1440"/>
          </w:tcPr>
          <w:p>
            <w:r>
              <w:t>Miércoles 13:06</w:t>
            </w:r>
          </w:p>
        </w:tc>
      </w:tr>
      <w:tr>
        <w:tc>
          <w:tcPr>
            <w:tcW w:type="dxa" w:w="1440"/>
          </w:tcPr>
          <w:p>
            <w:r>
              <w:t>Viernes 9:30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666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276</w:t>
            </w:r>
          </w:p>
        </w:tc>
        <w:tc>
          <w:tcPr>
            <w:tcW w:type="dxa" w:w="1440"/>
          </w:tcPr>
          <w:p>
            <w:r>
              <w:t>Lunes 14:06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8. GESTIÓN DEL RIESGO</w:t>
      </w:r>
    </w:p>
    <w:p>
      <w:pPr>
        <w:pStyle w:val="Heading2"/>
      </w:pPr>
      <w:r>
        <w:rPr>
          <w:color w:val="004C99"/>
          <w:sz w:val="28"/>
        </w:rPr>
        <w:t>8.1 Límites de Exposición</w:t>
      </w:r>
    </w:p>
    <w:p>
      <w:pPr>
        <w:pStyle w:val="Heading3"/>
      </w:pPr>
      <w:r>
        <w:rPr>
          <w:color w:val="336699"/>
          <w:sz w:val="24"/>
        </w:rPr>
        <w:t>8.1.1 Por Posición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MÁXIMO_POR_POSICIÓN = 20% del capital operable</w:t>
        <w:br/>
        <w:t>MÍNIMO_POR_POSICIÓN = $1,000 o 1% del capital, el mayor</w:t>
      </w:r>
    </w:p>
    <w:p>
      <w:pPr>
        <w:pStyle w:val="Heading3"/>
      </w:pPr>
      <w:r>
        <w:rPr>
          <w:color w:val="336699"/>
          <w:sz w:val="24"/>
        </w:rPr>
        <w:t>8.1.2 Por Sector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MÁXIMO_POR_SECTOR = 40% del capital operable</w:t>
      </w:r>
    </w:p>
    <w:p>
      <w:r>
        <w:t>Sectores a monitorear:</w:t>
      </w:r>
    </w:p>
    <w:p>
      <w:pPr>
        <w:pStyle w:val="ListBullet"/>
      </w:pPr>
      <w:r>
        <w:t>Tecnología (AAPL, MSFT, GOOGL, META, NVDA, etc.)</w:t>
      </w:r>
    </w:p>
    <w:p>
      <w:pPr>
        <w:pStyle w:val="ListBullet"/>
      </w:pPr>
      <w:r>
        <w:t>Financieros (JPM, BAC, WFC, BRK-B, etc.)</w:t>
      </w:r>
    </w:p>
    <w:p>
      <w:pPr>
        <w:pStyle w:val="ListBullet"/>
      </w:pPr>
      <w:r>
        <w:t>Salud (UNH, JNJ, PFE, ABT, etc.)</w:t>
      </w:r>
    </w:p>
    <w:p>
      <w:pPr>
        <w:pStyle w:val="ListBullet"/>
      </w:pPr>
      <w:r>
        <w:t>Consumo (WMT, HD, COST, NKE, etc.)</w:t>
      </w:r>
    </w:p>
    <w:p>
      <w:pPr>
        <w:pStyle w:val="ListBullet"/>
      </w:pPr>
      <w:r>
        <w:t>Energía (XOM, CVX)</w:t>
      </w:r>
    </w:p>
    <w:p>
      <w:pPr>
        <w:pStyle w:val="ListBullet"/>
      </w:pPr>
      <w:r>
        <w:t>Telecom (VZ)</w:t>
      </w:r>
    </w:p>
    <w:p>
      <w:pPr>
        <w:pStyle w:val="Heading3"/>
      </w:pPr>
      <w:r>
        <w:rPr>
          <w:color w:val="336699"/>
          <w:sz w:val="24"/>
        </w:rPr>
        <w:t>8.1.3 Global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CASH_MÍNIMO = 5% del capital total</w:t>
        <w:br/>
        <w:t>EXPOSICIÓN_MÁXIMA_NETA = 95% del capital total</w:t>
      </w:r>
    </w:p>
    <w:p>
      <w:pPr>
        <w:pStyle w:val="Heading2"/>
      </w:pPr>
      <w:r>
        <w:rPr>
          <w:color w:val="004C99"/>
          <w:sz w:val="28"/>
        </w:rPr>
        <w:t>8.2 Gestión de Volatilidad</w:t>
      </w:r>
    </w:p>
    <w:p>
      <w:pPr>
        <w:pStyle w:val="Heading3"/>
      </w:pPr>
      <w:r>
        <w:rPr>
          <w:color w:val="336699"/>
          <w:sz w:val="24"/>
        </w:rPr>
        <w:t>8.2.1 Volatilidad del Portafolio</w:t>
      </w:r>
    </w:p>
    <w:p>
      <w:r>
        <w:t>Calcular diariamente: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# Volatilidad de cada posición</w:t>
        <w:br/>
        <w:t>volatilidades = []</w:t>
        <w:br/>
        <w:t>PARA cada posicion EN posiciones:</w:t>
        <w:br/>
        <w:t xml:space="preserve">    vol = calcular_volatilidad(posicion.simbolo, 20)</w:t>
        <w:br/>
        <w:t xml:space="preserve">    volatilidades.append(vol × posicion.peso)</w:t>
        <w:br/>
        <w:br/>
        <w:t># Volatilidad ponderada del portafolio</w:t>
        <w:br/>
        <w:t>vol_portafolio = suma(volatilidades)</w:t>
      </w:r>
    </w:p>
    <w:p>
      <w:pPr>
        <w:pStyle w:val="Heading3"/>
      </w:pPr>
      <w:r>
        <w:rPr>
          <w:color w:val="336699"/>
          <w:sz w:val="24"/>
        </w:rPr>
        <w:t>8.2.2 Ajustes por Volatilidad Elevada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Volatilidad del Portafolio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&lt; 15%</w:t>
            </w:r>
          </w:p>
        </w:tc>
        <w:tc>
          <w:tcPr>
            <w:tcW w:type="dxa" w:w="4320"/>
          </w:tcPr>
          <w:p>
            <w:r>
              <w:t>Operación normal</w:t>
            </w:r>
          </w:p>
        </w:tc>
      </w:tr>
      <w:tr>
        <w:tc>
          <w:tcPr>
            <w:tcW w:type="dxa" w:w="4320"/>
          </w:tcPr>
          <w:p>
            <w:r>
              <w:t>15% - 25%</w:t>
            </w:r>
          </w:p>
        </w:tc>
        <w:tc>
          <w:tcPr>
            <w:tcW w:type="dxa" w:w="4320"/>
          </w:tcPr>
          <w:p>
            <w:r>
              <w:t>Monitoreo aumentado</w:t>
            </w:r>
          </w:p>
        </w:tc>
      </w:tr>
      <w:tr>
        <w:tc>
          <w:tcPr>
            <w:tcW w:type="dxa" w:w="4320"/>
          </w:tcPr>
          <w:p>
            <w:r>
              <w:t>25% - 35%</w:t>
            </w:r>
          </w:p>
        </w:tc>
        <w:tc>
          <w:tcPr>
            <w:tcW w:type="dxa" w:w="4320"/>
          </w:tcPr>
          <w:p>
            <w:r>
              <w:t>Reducir tamaño de nuevas posiciones 20%</w:t>
            </w:r>
          </w:p>
        </w:tc>
      </w:tr>
      <w:tr>
        <w:tc>
          <w:tcPr>
            <w:tcW w:type="dxa" w:w="4320"/>
          </w:tcPr>
          <w:p>
            <w:r>
              <w:t>&gt; 35%</w:t>
            </w:r>
          </w:p>
        </w:tc>
        <w:tc>
          <w:tcPr>
            <w:tcW w:type="dxa" w:w="4320"/>
          </w:tcPr>
          <w:p>
            <w:r>
              <w:t>Pausar nuevas entradas, evaluar reducción general</w:t>
            </w:r>
          </w:p>
        </w:tc>
      </w:tr>
    </w:tbl>
    <w:p>
      <w:pPr>
        <w:pStyle w:val="Heading2"/>
      </w:pPr>
      <w:r>
        <w:rPr>
          <w:color w:val="004C99"/>
          <w:sz w:val="28"/>
        </w:rPr>
        <w:t>8.3 Drawdown Controls</w:t>
      </w:r>
    </w:p>
    <w:p>
      <w:pPr>
        <w:pStyle w:val="Heading3"/>
      </w:pPr>
      <w:r>
        <w:rPr>
          <w:color w:val="336699"/>
          <w:sz w:val="24"/>
        </w:rPr>
        <w:t>8.3.1 Niveles de Drawdown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DD_NIVEL_1 = -10%  # Advertencia</w:t>
        <w:br/>
        <w:t>DD_NIVEL_2 = -20%  # Reducción de exposición</w:t>
        <w:br/>
        <w:t>DD_NIVEL_3 = -30%  # Pausa de nuevas posiciones</w:t>
        <w:br/>
        <w:t>DD_NIVEL_4 = -40%  # Reducción agresiva, revisión de estrategia</w:t>
      </w:r>
    </w:p>
    <w:p>
      <w:pPr>
        <w:pStyle w:val="Heading3"/>
      </w:pPr>
      <w:r>
        <w:rPr>
          <w:color w:val="336699"/>
          <w:sz w:val="24"/>
        </w:rPr>
        <w:t>8.3.2 Acciones por Nivel</w:t>
      </w:r>
    </w:p>
    <w:p>
      <w:r/>
      <w:r>
        <w:rPr>
          <w:b/>
        </w:rPr>
        <w:t>Nivel 1 (-10%):</w:t>
      </w:r>
      <w:r/>
    </w:p>
    <w:p>
      <w:pPr>
        <w:pStyle w:val="ListBullet"/>
      </w:pPr>
      <w:r>
        <w:t>Registrar evento en log</w:t>
      </w:r>
    </w:p>
    <w:p>
      <w:pPr>
        <w:pStyle w:val="ListBullet"/>
      </w:pPr>
      <w:r>
        <w:t>Aumentar frecuencia de monitoreo</w:t>
      </w:r>
    </w:p>
    <w:p>
      <w:r/>
      <w:r>
        <w:rPr>
          <w:b/>
        </w:rPr>
        <w:t>Nivel 2 (-20%):</w:t>
      </w:r>
      <w:r/>
    </w:p>
    <w:p>
      <w:pPr>
        <w:pStyle w:val="ListBullet"/>
      </w:pPr>
      <w:r>
        <w:t>Reducir tamaño de nuevas posiciones 25%</w:t>
      </w:r>
    </w:p>
    <w:p>
      <w:pPr>
        <w:pStyle w:val="ListBullet"/>
      </w:pPr>
      <w:r>
        <w:t>Aumentar cash objetivo a 10%</w:t>
      </w:r>
    </w:p>
    <w:p>
      <w:pPr>
        <w:pStyle w:val="ListBullet"/>
      </w:pPr>
      <w:r>
        <w:t>Revisar correlaciones del portafolio</w:t>
      </w:r>
    </w:p>
    <w:p>
      <w:r/>
      <w:r>
        <w:rPr>
          <w:b/>
        </w:rPr>
        <w:t>Nivel 3 (-30%):</w:t>
      </w:r>
      <w:r/>
    </w:p>
    <w:p>
      <w:pPr>
        <w:pStyle w:val="ListBullet"/>
      </w:pPr>
      <w:r>
        <w:t>Pausar todas las nuevas entradas</w:t>
      </w:r>
    </w:p>
    <w:p>
      <w:pPr>
        <w:pStyle w:val="ListBullet"/>
      </w:pPr>
      <w:r>
        <w:t>No cerrar posiciones existentes (sistema mecánico)</w:t>
      </w:r>
    </w:p>
    <w:p>
      <w:pPr>
        <w:pStyle w:val="ListBullet"/>
      </w:pPr>
      <w:r>
        <w:t>Preparar análisis de estrategia</w:t>
      </w:r>
    </w:p>
    <w:p>
      <w:r/>
      <w:r>
        <w:rPr>
          <w:b/>
        </w:rPr>
        <w:t>Nivel 4 (-40%):</w:t>
      </w:r>
      <w:r/>
    </w:p>
    <w:p>
      <w:pPr>
        <w:pStyle w:val="ListBullet"/>
      </w:pPr>
      <w:r>
        <w:t>Reducir exposición a 50% del capital</w:t>
      </w:r>
    </w:p>
    <w:p>
      <w:pPr>
        <w:pStyle w:val="ListBullet"/>
      </w:pPr>
      <w:r>
        <w:t>Evaluar si el drawdown es sistémico o idiosincrático</w:t>
      </w:r>
    </w:p>
    <w:p>
      <w:pPr>
        <w:pStyle w:val="ListBullet"/>
      </w:pPr>
      <w:r>
        <w:t>Considerar pausa temporal de operaciones</w:t>
      </w:r>
    </w:p>
    <w:p>
      <w:pPr>
        <w:pStyle w:val="Heading2"/>
      </w:pPr>
      <w:r>
        <w:rPr>
          <w:color w:val="004C99"/>
          <w:sz w:val="28"/>
        </w:rPr>
        <w:t>8.4 Reglas de No-Intervención</w:t>
      </w:r>
    </w:p>
    <w:p>
      <w:r/>
      <w:r>
        <w:rPr>
          <w:b/>
        </w:rPr>
        <w:t>NO se aplican stops de pérdida tradicionales.</w:t>
      </w:r>
      <w:r/>
    </w:p>
    <w:p>
      <w:r>
        <w:t>Razones:</w:t>
      </w:r>
    </w:p>
    <w:p>
      <w:pPr>
        <w:pStyle w:val="ListNumber"/>
      </w:pPr>
      <w:r>
        <w:t>El hold de 666 minutos es el mecanismo de control de riesgo</w:t>
      </w:r>
    </w:p>
    <w:p>
      <w:pPr>
        <w:pStyle w:val="ListNumber"/>
      </w:pPr>
      <w:r>
        <w:t>Los stops pueden activarse por ruido de corto plazo</w:t>
      </w:r>
    </w:p>
    <w:p>
      <w:pPr>
        <w:pStyle w:val="ListNumber"/>
      </w:pPr>
      <w:r>
        <w:t>El sizing por Risk Parity ya limita la exposición individual</w:t>
      </w:r>
    </w:p>
    <w:p>
      <w:r/>
      <w:r>
        <w:rPr>
          <w:b/>
        </w:rPr>
        <w:t>Excepciones de emergencia (requieren aprobación manual):</w:t>
      </w:r>
      <w:r/>
    </w:p>
    <w:p>
      <w:pPr>
        <w:pStyle w:val="ListBullet"/>
      </w:pPr>
      <w:r>
        <w:t>Caída &gt; 50% de una posición en un solo día</w:t>
      </w:r>
    </w:p>
    <w:p>
      <w:pPr>
        <w:pStyle w:val="ListBullet"/>
      </w:pPr>
      <w:r>
        <w:t>Suspensión de trading del activo</w:t>
      </w:r>
    </w:p>
    <w:p>
      <w:pPr>
        <w:pStyle w:val="ListBullet"/>
      </w:pPr>
      <w:r>
        <w:t>Evento corporativo no previsto (bankruptcy, fraud, etc.)</w:t>
      </w:r>
    </w:p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9. REBALANCEO Y MANTENIMIENTO</w:t>
      </w:r>
    </w:p>
    <w:p>
      <w:pPr>
        <w:pStyle w:val="Heading2"/>
      </w:pPr>
      <w:r>
        <w:rPr>
          <w:color w:val="004C99"/>
          <w:sz w:val="28"/>
        </w:rPr>
        <w:t>9.1 Calendario de Rebalanceo</w:t>
      </w:r>
    </w:p>
    <w:p>
      <w:r/>
      <w:r>
        <w:rPr>
          <w:b/>
        </w:rPr>
        <w:t>Frecuencia:</w:t>
      </w:r>
      <w:r>
        <w:t xml:space="preserve"> Cada 21 días hábiles (~mensual)</w:t>
      </w:r>
    </w:p>
    <w:p>
      <w:r/>
      <w:r>
        <w:rPr>
          <w:b/>
        </w:rPr>
        <w:t>Fechas aproximadas:</w:t>
      </w:r>
      <w:r/>
    </w:p>
    <w:p>
      <w:pPr>
        <w:pStyle w:val="ListBullet"/>
      </w:pPr>
      <w:r>
        <w:t>Enero: Día 3 hábil</w:t>
      </w:r>
    </w:p>
    <w:p>
      <w:pPr>
        <w:pStyle w:val="ListBullet"/>
      </w:pPr>
      <w:r>
        <w:t>Febrero: Día 24 hábil</w:t>
      </w:r>
    </w:p>
    <w:p>
      <w:pPr>
        <w:pStyle w:val="ListBullet"/>
      </w:pPr>
      <w:r>
        <w:t>Marzo: Día 21 hábil</w:t>
      </w:r>
    </w:p>
    <w:p>
      <w:pPr>
        <w:pStyle w:val="ListBullet"/>
      </w:pPr>
      <w:r>
        <w:t>Abril: Día 18 hábil</w:t>
      </w:r>
    </w:p>
    <w:p>
      <w:pPr>
        <w:pStyle w:val="ListBullet"/>
      </w:pPr>
      <w:r>
        <w:t>Mayo: Día 15 hábil</w:t>
      </w:r>
    </w:p>
    <w:p>
      <w:pPr>
        <w:pStyle w:val="ListBullet"/>
      </w:pPr>
      <w:r>
        <w:t>Junio: Día 12 hábil</w:t>
      </w:r>
    </w:p>
    <w:p>
      <w:pPr>
        <w:pStyle w:val="ListBullet"/>
      </w:pPr>
      <w:r>
        <w:t>Julio: Día 12 hábil</w:t>
      </w:r>
    </w:p>
    <w:p>
      <w:pPr>
        <w:pStyle w:val="ListBullet"/>
      </w:pPr>
      <w:r>
        <w:t>Agosto: Día 9 hábil</w:t>
      </w:r>
    </w:p>
    <w:p>
      <w:pPr>
        <w:pStyle w:val="ListBullet"/>
      </w:pPr>
      <w:r>
        <w:t>Septiembre: Día 6 hábil</w:t>
      </w:r>
    </w:p>
    <w:p>
      <w:pPr>
        <w:pStyle w:val="ListBullet"/>
      </w:pPr>
      <w:r>
        <w:t>Octubre: Día 6 hábil</w:t>
      </w:r>
    </w:p>
    <w:p>
      <w:pPr>
        <w:pStyle w:val="ListBullet"/>
      </w:pPr>
      <w:r>
        <w:t>Noviembre: Día 3 hábil</w:t>
      </w:r>
    </w:p>
    <w:p>
      <w:pPr>
        <w:pStyle w:val="ListBullet"/>
      </w:pPr>
      <w:r>
        <w:t>Diciembre: Día 1 hábil</w:t>
      </w:r>
    </w:p>
    <w:p>
      <w:pPr>
        <w:pStyle w:val="Heading2"/>
      </w:pPr>
      <w:r>
        <w:rPr>
          <w:color w:val="004C99"/>
          <w:sz w:val="28"/>
        </w:rPr>
        <w:t>9.2 Proceso de Rebalanceo</w:t>
      </w:r>
    </w:p>
    <w:p>
      <w:pPr>
        <w:pStyle w:val="Heading3"/>
      </w:pPr>
      <w:r>
        <w:rPr>
          <w:color w:val="336699"/>
          <w:sz w:val="24"/>
        </w:rPr>
        <w:t>Paso 1: Cierre de Ciclo Anterior (Día del Rebalanceo)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1.1 Permitir que todas las posiciones con exit_date = hoy cierren normalmente</w:t>
        <w:br/>
        <w:t>1.2 Calcular P&amp;L del período</w:t>
        <w:br/>
        <w:t>1.3 Actualizar capital disponible</w:t>
      </w:r>
    </w:p>
    <w:p>
      <w:pPr>
        <w:pStyle w:val="Heading3"/>
      </w:pPr>
      <w:r>
        <w:rPr>
          <w:color w:val="336699"/>
          <w:sz w:val="24"/>
        </w:rPr>
        <w:t>Paso 2: Recálculo de Scores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2.1 Descargar datos fundamentales actualizados</w:t>
        <w:br/>
        <w:t>2.2 Calcular Value Score para todo el universo</w:t>
        <w:br/>
        <w:t>2.3 Calcular Quality Score para todo el universo</w:t>
        <w:br/>
        <w:t>2.4 Calcular Momentum Score para todo el universo</w:t>
        <w:br/>
        <w:t>2.5 Calcular Composite Score</w:t>
      </w:r>
    </w:p>
    <w:p>
      <w:pPr>
        <w:pStyle w:val="Heading3"/>
      </w:pPr>
      <w:r>
        <w:rPr>
          <w:color w:val="336699"/>
          <w:sz w:val="24"/>
        </w:rPr>
        <w:t>Paso 3: Nueva Selección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3.1 Ordenar universo por Composite Score</w:t>
        <w:br/>
        <w:t>3.2 Seleccionar top 10 símbolos</w:t>
        <w:br/>
        <w:t>3.3 Comparar con selección anterior</w:t>
        <w:br/>
        <w:t>3.4 Identificar entradas y salidas</w:t>
      </w:r>
    </w:p>
    <w:p>
      <w:pPr>
        <w:pStyle w:val="Heading3"/>
      </w:pPr>
      <w:r>
        <w:rPr>
          <w:color w:val="336699"/>
          <w:sz w:val="24"/>
        </w:rPr>
        <w:t>Paso 4: Cálculo de Nuevos Pesos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4.1 Calcular volatilidad de 20 días para seleccionados</w:t>
        <w:br/>
        <w:t>4.2 Calcular pesos por Risk Parity</w:t>
        <w:br/>
        <w:t>4.3 Verificar límites de posición (max 20%)</w:t>
        <w:br/>
        <w:t>4.4 Ajustar si es necesario</w:t>
      </w:r>
    </w:p>
    <w:p>
      <w:pPr>
        <w:pStyle w:val="Heading3"/>
      </w:pPr>
      <w:r>
        <w:rPr>
          <w:color w:val="336699"/>
          <w:sz w:val="24"/>
        </w:rPr>
        <w:t>Paso 5: Ejecución de Cambios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5.1 Para símbolos que salen de la selección:</w:t>
        <w:br/>
        <w:t xml:space="preserve">    - No abrir nuevas posiciones</w:t>
        <w:br/>
        <w:t xml:space="preserve">    - Permitir que posiciones existantes cierren por tiempo</w:t>
        <w:br/>
        <w:t xml:space="preserve">    </w:t>
        <w:br/>
        <w:t>5.2 Para símbolos que entran a la selección:</w:t>
        <w:br/>
        <w:t xml:space="preserve">    - Iniciar acumulación durante el mes</w:t>
        <w:br/>
        <w:t xml:space="preserve">    - Respetar límites de posición</w:t>
        <w:br/>
        <w:t xml:space="preserve">    </w:t>
        <w:br/>
        <w:t>5.3 Para símbolos que permanecen:</w:t>
        <w:br/>
        <w:t xml:space="preserve">    - Ajustar sizing si el peso cambió significativamente (&gt;5%)</w:t>
      </w:r>
    </w:p>
    <w:p>
      <w:pPr>
        <w:pStyle w:val="Heading2"/>
      </w:pPr>
      <w:r>
        <w:rPr>
          <w:color w:val="004C99"/>
          <w:sz w:val="28"/>
        </w:rPr>
        <w:t>9.3 Transición Suave</w:t>
      </w:r>
    </w:p>
    <w:p>
      <w:r/>
      <w:r>
        <w:rPr>
          <w:b/>
        </w:rPr>
        <w:t>Nunca se cierran posiciones anticipadamente por rebalanceo.</w:t>
      </w:r>
      <w:r/>
    </w:p>
    <w:p>
      <w:r>
        <w:t>Las posiciones existentes se mantienen hasta su fecha natural de cierre (666 minutos), incluso si el símbolo ya no está en la selección mensual.</w:t>
      </w:r>
    </w:p>
    <w:p>
      <w:r>
        <w:t>Esto evita:</w:t>
      </w:r>
    </w:p>
    <w:p>
      <w:pPr>
        <w:pStyle w:val="ListBullet"/>
      </w:pPr>
      <w:r>
        <w:t>Costos de transacción innecesarios</w:t>
      </w:r>
    </w:p>
    <w:p>
      <w:pPr>
        <w:pStyle w:val="ListBullet"/>
      </w:pPr>
      <w:r>
        <w:t>Realización de pérdidas por pánico</w:t>
      </w:r>
    </w:p>
    <w:p>
      <w:pPr>
        <w:pStyle w:val="ListBullet"/>
      </w:pPr>
      <w:r>
        <w:t>Interferencia con el edge del timing</w:t>
      </w:r>
    </w:p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10. PROCEDIMIENTOS OPERATIVOS</w:t>
      </w:r>
    </w:p>
    <w:p>
      <w:pPr>
        <w:pStyle w:val="Heading2"/>
      </w:pPr>
      <w:r>
        <w:rPr>
          <w:color w:val="004C99"/>
          <w:sz w:val="28"/>
        </w:rPr>
        <w:t>10.1 Pre-Mercado (8:00 AM - 9:30 AM ET)</w:t>
      </w:r>
    </w:p>
    <w:p>
      <w:pPr>
        <w:pStyle w:val="Heading3"/>
      </w:pPr>
      <w:r>
        <w:rPr>
          <w:color w:val="336699"/>
          <w:sz w:val="24"/>
        </w:rPr>
        <w:t>Tareas Diarias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□ Verificar que todos los sistemas están operativos</w:t>
        <w:br/>
        <w:t>□ Descargar datos de cierre del día anterior</w:t>
        <w:br/>
        <w:t>□ Actualizar precios y volatilidades</w:t>
        <w:br/>
        <w:t>□ Calcular valor del portafolio</w:t>
        <w:br/>
        <w:t>□ Identificar posiciones que expiran hoy</w:t>
        <w:br/>
        <w:t>□ Preparar órdenes de entrada para nuevas posiciones</w:t>
        <w:br/>
        <w:t>□ Revisar noticias corporativas de símbolos en cartera</w:t>
      </w:r>
    </w:p>
    <w:p>
      <w:pPr>
        <w:pStyle w:val="Heading3"/>
      </w:pPr>
      <w:r>
        <w:rPr>
          <w:color w:val="336699"/>
          <w:sz w:val="24"/>
        </w:rPr>
        <w:t>Checklist de Sistemas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□ Conexión a broker/API operativa</w:t>
        <w:br/>
        <w:t>□ Feed de datos en tiempo real activo</w:t>
        <w:br/>
        <w:t>□ Sistema de logging funcionando</w:t>
        <w:br/>
        <w:t>□ Backups automáticos confirmados</w:t>
        <w:br/>
        <w:t>□ Alertas configuradas y activas</w:t>
      </w:r>
    </w:p>
    <w:p>
      <w:pPr>
        <w:pStyle w:val="Heading2"/>
      </w:pPr>
      <w:r>
        <w:rPr>
          <w:color w:val="004C99"/>
          <w:sz w:val="28"/>
        </w:rPr>
        <w:t>10.2 Horario de Mercado (9:30 AM - 4:00 PM ET)</w:t>
      </w:r>
    </w:p>
    <w:p>
      <w:pPr>
        <w:pStyle w:val="Heading3"/>
      </w:pPr>
      <w:r>
        <w:rPr>
          <w:color w:val="336699"/>
          <w:sz w:val="24"/>
        </w:rPr>
        <w:t>9:30 AM - Apertura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□ Enviar órdenes de entrada para nuevas posiciones</w:t>
        <w:br/>
        <w:t>□ Confirmar fills</w:t>
        <w:br/>
        <w:t>□ Registrar precios de entrada</w:t>
        <w:br/>
        <w:t>□ Calcular minutos de salida programados</w:t>
      </w:r>
    </w:p>
    <w:p>
      <w:pPr>
        <w:pStyle w:val="Heading3"/>
      </w:pPr>
      <w:r>
        <w:rPr>
          <w:color w:val="336699"/>
          <w:sz w:val="24"/>
        </w:rPr>
        <w:t>Durante el Día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□ Monitorear posiciones que expiran</w:t>
        <w:br/>
        <w:t>□ Ejecutar salidas en minutos programados</w:t>
        <w:br/>
        <w:t>□ Registrar todos los fills</w:t>
        <w:br/>
        <w:t>□ Actualizar cash disponible</w:t>
      </w:r>
    </w:p>
    <w:p>
      <w:pPr>
        <w:pStyle w:val="Heading3"/>
      </w:pPr>
      <w:r>
        <w:rPr>
          <w:color w:val="336699"/>
          <w:sz w:val="24"/>
        </w:rPr>
        <w:t>3:30 PM - Pre-Cierre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□ Revisar posiciones pendientes de cierre</w:t>
        <w:br/>
        <w:t>□ Preparar órdenes para overnight si aplica</w:t>
        <w:br/>
        <w:t>□ Confirmar que todas las salidas programadas se ejecutaron</w:t>
      </w:r>
    </w:p>
    <w:p>
      <w:pPr>
        <w:pStyle w:val="Heading3"/>
      </w:pPr>
      <w:r>
        <w:rPr>
          <w:color w:val="336699"/>
          <w:sz w:val="24"/>
        </w:rPr>
        <w:t>4:00 PM - Cierre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□ Cierre de todas las operaciones del día</w:t>
        <w:br/>
        <w:t>□ Reconciliación de posiciones</w:t>
        <w:br/>
        <w:t>□ Cálculo de P&amp;L diario</w:t>
        <w:br/>
        <w:t>□ Generación de reportes</w:t>
      </w:r>
    </w:p>
    <w:p>
      <w:pPr>
        <w:pStyle w:val="Heading2"/>
      </w:pPr>
      <w:r>
        <w:rPr>
          <w:color w:val="004C99"/>
          <w:sz w:val="28"/>
        </w:rPr>
        <w:t>10.3 Post-Mercado (4:00 PM - 6:00 PM ET)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□ Descargar datos de cierre</w:t>
        <w:br/>
        <w:t>□ Actualizar base de datos</w:t>
        <w:br/>
        <w:t>□ Generar reportes diarios</w:t>
        <w:br/>
        <w:t>□ Verificar integridad de datos</w:t>
        <w:br/>
        <w:t>□ Preparar análisis para siguiente día</w:t>
      </w:r>
    </w:p>
    <w:p>
      <w:pPr>
        <w:pStyle w:val="Heading2"/>
      </w:pPr>
      <w:r>
        <w:rPr>
          <w:color w:val="004C99"/>
          <w:sz w:val="28"/>
        </w:rPr>
        <w:t>10.4 Procedimientos de Emergencia</w:t>
      </w:r>
    </w:p>
    <w:p>
      <w:pPr>
        <w:pStyle w:val="Heading3"/>
      </w:pPr>
      <w:r>
        <w:rPr>
          <w:color w:val="336699"/>
          <w:sz w:val="24"/>
        </w:rPr>
        <w:t>Escenario A: Falla de Conexión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1. Intentar reconexión automática (3 intentos)</w:t>
        <w:br/>
        <w:t>2. Si falla, enviar alerta a operador humano</w:t>
        <w:br/>
        <w:t>3. Operador evalúa:</w:t>
        <w:br/>
        <w:t xml:space="preserve">   - Si &lt; 30 minutos antes de cierre: esperar reconexión</w:t>
        <w:br/>
        <w:t xml:space="preserve">   - Si &gt; 30 minutos: ejecutar manualmente por teléfono</w:t>
        <w:br/>
        <w:t>4. Documentar incidente</w:t>
        <w:br/>
        <w:t>5. Revisar causas post-mortem</w:t>
      </w:r>
    </w:p>
    <w:p>
      <w:pPr>
        <w:pStyle w:val="Heading3"/>
      </w:pPr>
      <w:r>
        <w:rPr>
          <w:color w:val="336699"/>
          <w:sz w:val="24"/>
        </w:rPr>
        <w:t>Escenario B: Gap Adverso Mayor a 20%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1. Detectar gap &gt; 20% en posición individual</w:t>
        <w:br/>
        <w:t>2. Pausar nuevas entradas en ese símbolo</w:t>
        <w:br/>
        <w:t>3. Evaluar si el gap es:</w:t>
        <w:br/>
        <w:t xml:space="preserve">   - Evento corporativo (earnings, M&amp;A): mantener posición</w:t>
        <w:br/>
        <w:t xml:space="preserve">   - Noticia estructural (fraud, bankruptcy): evaluar cierre manual</w:t>
        <w:br/>
        <w:t>4. Documentar decisión</w:t>
        <w:br/>
        <w:t>5. Ajustar modelo si es necesario</w:t>
      </w:r>
    </w:p>
    <w:p>
      <w:pPr>
        <w:pStyle w:val="Heading3"/>
      </w:pPr>
      <w:r>
        <w:rPr>
          <w:color w:val="336699"/>
          <w:sz w:val="24"/>
        </w:rPr>
        <w:t>Escenario C: Suspensión de Trading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1. Detectar suspensión de símbolo</w:t>
        <w:br/>
        <w:t>2. Marcar símbolo como no-disponible</w:t>
        <w:br/>
        <w:t>3. Si hay posición abierta:</w:t>
        <w:br/>
        <w:t xml:space="preserve">   - Esperar reanudación</w:t>
        <w:br/>
        <w:t xml:space="preserve">   - Si suspensión &gt; 5 días: evaluar con asesor legal</w:t>
        <w:br/>
        <w:t>4. Ajustar universo si es permanente</w:t>
      </w:r>
    </w:p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11. MÉTRICAS Y EVALUACIÓN</w:t>
      </w:r>
    </w:p>
    <w:p>
      <w:pPr>
        <w:pStyle w:val="Heading2"/>
      </w:pPr>
      <w:r>
        <w:rPr>
          <w:color w:val="004C99"/>
          <w:sz w:val="28"/>
        </w:rPr>
        <w:t>11.1 Métricas de Retorno</w:t>
      </w:r>
    </w:p>
    <w:p>
      <w:pPr>
        <w:pStyle w:val="Heading3"/>
      </w:pPr>
      <w:r>
        <w:rPr>
          <w:color w:val="336699"/>
          <w:sz w:val="24"/>
        </w:rPr>
        <w:t>11.1.1 Retorno Total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Retorno Total = (Valor Final - Valor Inicial) / Valor Inicial</w:t>
      </w:r>
    </w:p>
    <w:p>
      <w:pPr>
        <w:pStyle w:val="Heading3"/>
      </w:pPr>
      <w:r>
        <w:rPr>
          <w:color w:val="336699"/>
          <w:sz w:val="24"/>
        </w:rPr>
        <w:t>11.1.2 Retorno Anualizado (CAGR)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CAGR = (Valor Final / Valor Inicial)^(1 / Años) - 1</w:t>
        <w:br/>
        <w:br/>
        <w:t>Donde:</w:t>
        <w:br/>
        <w:t>Años = Días de Trading / 252</w:t>
      </w:r>
    </w:p>
    <w:p>
      <w:pPr>
        <w:pStyle w:val="Heading3"/>
      </w:pPr>
      <w:r>
        <w:rPr>
          <w:color w:val="336699"/>
          <w:sz w:val="24"/>
        </w:rPr>
        <w:t>11.1.3 Retorno por Operación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Retorno Op = (Precio Salida - Precio Entrada) / Precio Entrada</w:t>
      </w:r>
    </w:p>
    <w:p>
      <w:pPr>
        <w:pStyle w:val="Heading2"/>
      </w:pPr>
      <w:r>
        <w:rPr>
          <w:color w:val="004C99"/>
          <w:sz w:val="28"/>
        </w:rPr>
        <w:t>11.2 Métricas de Riesgo</w:t>
      </w:r>
    </w:p>
    <w:p>
      <w:pPr>
        <w:pStyle w:val="Heading3"/>
      </w:pPr>
      <w:r>
        <w:rPr>
          <w:color w:val="336699"/>
          <w:sz w:val="24"/>
        </w:rPr>
        <w:t>11.2.1 Volatilidad Anualizada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σ_anual = σ_diaria × √252</w:t>
        <w:br/>
        <w:br/>
        <w:t>Donde:</w:t>
        <w:br/>
        <w:t>σ_diaria = desviación estándar de retornos diarios del portafolio</w:t>
      </w:r>
    </w:p>
    <w:p>
      <w:pPr>
        <w:pStyle w:val="Heading3"/>
      </w:pPr>
      <w:r>
        <w:rPr>
          <w:color w:val="336699"/>
          <w:sz w:val="24"/>
        </w:rPr>
        <w:t>11.2.2 Maximum Drawdown (MDD)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MDD = mínimo((Valor_t - Máximo_Valor_hasta_t) / Máximo_Valor_hasta_t)</w:t>
      </w:r>
    </w:p>
    <w:p>
      <w:pPr>
        <w:pStyle w:val="Heading3"/>
      </w:pPr>
      <w:r>
        <w:rPr>
          <w:color w:val="336699"/>
          <w:sz w:val="24"/>
        </w:rPr>
        <w:t>11.2.3 Value at Risk (VaR) 95%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VaR_95 = media_retornos - 1.645 × σ_retornos</w:t>
      </w:r>
    </w:p>
    <w:p>
      <w:pPr>
        <w:pStyle w:val="Heading2"/>
      </w:pPr>
      <w:r>
        <w:rPr>
          <w:color w:val="004C99"/>
          <w:sz w:val="28"/>
        </w:rPr>
        <w:t>11.3 Métricas de Eficiencia</w:t>
      </w:r>
    </w:p>
    <w:p>
      <w:pPr>
        <w:pStyle w:val="Heading3"/>
      </w:pPr>
      <w:r>
        <w:rPr>
          <w:color w:val="336699"/>
          <w:sz w:val="24"/>
        </w:rPr>
        <w:t>11.3.1 Sharpe Ratio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Sharpe = (R_portafolio - R_libre_riesgo) / σ_portafolio</w:t>
        <w:br/>
        <w:br/>
        <w:t>Donde:</w:t>
        <w:br/>
        <w:t>R_libre_riesgo = 2% (T-Bill rate asumido)</w:t>
      </w:r>
    </w:p>
    <w:p>
      <w:pPr>
        <w:pStyle w:val="Heading3"/>
      </w:pPr>
      <w:r>
        <w:rPr>
          <w:color w:val="336699"/>
          <w:sz w:val="24"/>
        </w:rPr>
        <w:t>11.3.2 Sortino Ratio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Sortino = (R_portafolio - R_libre_riesgo) / σ_downside</w:t>
        <w:br/>
        <w:br/>
        <w:t>Donde:</w:t>
        <w:br/>
        <w:t>σ_downside = desviación estándar de retornos negativos únicamente</w:t>
      </w:r>
    </w:p>
    <w:p>
      <w:pPr>
        <w:pStyle w:val="Heading3"/>
      </w:pPr>
      <w:r>
        <w:rPr>
          <w:color w:val="336699"/>
          <w:sz w:val="24"/>
        </w:rPr>
        <w:t>11.3.3 Calmar Ratio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Calmar = CAGR / |MDD|</w:t>
      </w:r>
    </w:p>
    <w:p>
      <w:pPr>
        <w:pStyle w:val="Heading2"/>
      </w:pPr>
      <w:r>
        <w:rPr>
          <w:color w:val="004C99"/>
          <w:sz w:val="28"/>
        </w:rPr>
        <w:t>11.4 Métricas de Trading</w:t>
      </w:r>
    </w:p>
    <w:p>
      <w:pPr>
        <w:pStyle w:val="Heading3"/>
      </w:pPr>
      <w:r>
        <w:rPr>
          <w:color w:val="336699"/>
          <w:sz w:val="24"/>
        </w:rPr>
        <w:t>11.4.1 Win Rate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Win Rate = Operaciones Ganadoras / Total Operaciones</w:t>
      </w:r>
    </w:p>
    <w:p>
      <w:pPr>
        <w:pStyle w:val="Heading3"/>
      </w:pPr>
      <w:r>
        <w:rPr>
          <w:color w:val="336699"/>
          <w:sz w:val="24"/>
        </w:rPr>
        <w:t>11.4.2 Profit Factor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Profit Factor = |Suma Ganancias| / |Suma Pérdidas|</w:t>
      </w:r>
    </w:p>
    <w:p>
      <w:pPr>
        <w:pStyle w:val="Heading3"/>
      </w:pPr>
      <w:r>
        <w:rPr>
          <w:color w:val="336699"/>
          <w:sz w:val="24"/>
        </w:rPr>
        <w:t>11.4.3 Ratio Ganancia/Pérdida Promedio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Ratio G/P = Ganancia Promedio / |Pérdida Promedio|</w:t>
      </w:r>
    </w:p>
    <w:p>
      <w:pPr>
        <w:pStyle w:val="Heading3"/>
      </w:pPr>
      <w:r>
        <w:rPr>
          <w:color w:val="336699"/>
          <w:sz w:val="24"/>
        </w:rPr>
        <w:t>11.4.4 Esperanza Matemática por Operación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E = (Win Rate × Ganancia Promedio) + ((1 - Win Rate) × Pérdida Promedio)</w:t>
      </w:r>
    </w:p>
    <w:p>
      <w:pPr>
        <w:pStyle w:val="Heading2"/>
      </w:pPr>
      <w:r>
        <w:rPr>
          <w:color w:val="004C99"/>
          <w:sz w:val="28"/>
        </w:rPr>
        <w:t>11.5 Umbrales de Alerta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Verde</w:t>
            </w:r>
          </w:p>
        </w:tc>
        <w:tc>
          <w:tcPr>
            <w:tcW w:type="dxa" w:w="2160"/>
          </w:tcPr>
          <w:p>
            <w:r>
              <w:t>Amarillo</w:t>
            </w:r>
          </w:p>
        </w:tc>
        <w:tc>
          <w:tcPr>
            <w:tcW w:type="dxa" w:w="2160"/>
          </w:tcPr>
          <w:p>
            <w:r>
              <w:t>Rojo</w:t>
            </w:r>
          </w:p>
        </w:tc>
      </w:tr>
      <w:tr>
        <w:tc>
          <w:tcPr>
            <w:tcW w:type="dxa" w:w="2160"/>
          </w:tcPr>
          <w:p>
            <w:r>
              <w:t>CAGR</w:t>
            </w:r>
          </w:p>
        </w:tc>
        <w:tc>
          <w:tcPr>
            <w:tcW w:type="dxa" w:w="2160"/>
          </w:tcPr>
          <w:p>
            <w:r>
              <w:t>&gt; 10%</w:t>
            </w:r>
          </w:p>
        </w:tc>
        <w:tc>
          <w:tcPr>
            <w:tcW w:type="dxa" w:w="2160"/>
          </w:tcPr>
          <w:p>
            <w:r>
              <w:t>5-10%</w:t>
            </w:r>
          </w:p>
        </w:tc>
        <w:tc>
          <w:tcPr>
            <w:tcW w:type="dxa" w:w="2160"/>
          </w:tcPr>
          <w:p>
            <w:r>
              <w:t>&lt; 5%</w:t>
            </w:r>
          </w:p>
        </w:tc>
      </w:tr>
      <w:tr>
        <w:tc>
          <w:tcPr>
            <w:tcW w:type="dxa" w:w="2160"/>
          </w:tcPr>
          <w:p>
            <w:r>
              <w:t>MDD</w:t>
            </w:r>
          </w:p>
        </w:tc>
        <w:tc>
          <w:tcPr>
            <w:tcW w:type="dxa" w:w="2160"/>
          </w:tcPr>
          <w:p>
            <w:r>
              <w:t>&lt; 30%</w:t>
            </w:r>
          </w:p>
        </w:tc>
        <w:tc>
          <w:tcPr>
            <w:tcW w:type="dxa" w:w="2160"/>
          </w:tcPr>
          <w:p>
            <w:r>
              <w:t>30-50%</w:t>
            </w:r>
          </w:p>
        </w:tc>
        <w:tc>
          <w:tcPr>
            <w:tcW w:type="dxa" w:w="2160"/>
          </w:tcPr>
          <w:p>
            <w:r>
              <w:t>&gt; 50%</w:t>
            </w:r>
          </w:p>
        </w:tc>
      </w:tr>
      <w:tr>
        <w:tc>
          <w:tcPr>
            <w:tcW w:type="dxa" w:w="2160"/>
          </w:tcPr>
          <w:p>
            <w:r>
              <w:t>Sharpe</w:t>
            </w:r>
          </w:p>
        </w:tc>
        <w:tc>
          <w:tcPr>
            <w:tcW w:type="dxa" w:w="2160"/>
          </w:tcPr>
          <w:p>
            <w:r>
              <w:t>&gt; 0.7</w:t>
            </w:r>
          </w:p>
        </w:tc>
        <w:tc>
          <w:tcPr>
            <w:tcW w:type="dxa" w:w="2160"/>
          </w:tcPr>
          <w:p>
            <w:r>
              <w:t>0.4-0.7</w:t>
            </w:r>
          </w:p>
        </w:tc>
        <w:tc>
          <w:tcPr>
            <w:tcW w:type="dxa" w:w="2160"/>
          </w:tcPr>
          <w:p>
            <w:r>
              <w:t>&lt; 0.4</w:t>
            </w:r>
          </w:p>
        </w:tc>
      </w:tr>
      <w:tr>
        <w:tc>
          <w:tcPr>
            <w:tcW w:type="dxa" w:w="2160"/>
          </w:tcPr>
          <w:p>
            <w:r>
              <w:t>Win Rate</w:t>
            </w:r>
          </w:p>
        </w:tc>
        <w:tc>
          <w:tcPr>
            <w:tcW w:type="dxa" w:w="2160"/>
          </w:tcPr>
          <w:p>
            <w:r>
              <w:t>&gt; 52%</w:t>
            </w:r>
          </w:p>
        </w:tc>
        <w:tc>
          <w:tcPr>
            <w:tcW w:type="dxa" w:w="2160"/>
          </w:tcPr>
          <w:p>
            <w:r>
              <w:t>48-52%</w:t>
            </w:r>
          </w:p>
        </w:tc>
        <w:tc>
          <w:tcPr>
            <w:tcW w:type="dxa" w:w="2160"/>
          </w:tcPr>
          <w:p>
            <w:r>
              <w:t>&lt; 48%</w:t>
            </w:r>
          </w:p>
        </w:tc>
      </w:tr>
      <w:tr>
        <w:tc>
          <w:tcPr>
            <w:tcW w:type="dxa" w:w="2160"/>
          </w:tcPr>
          <w:p>
            <w:r>
              <w:t>Profit Factor</w:t>
            </w:r>
          </w:p>
        </w:tc>
        <w:tc>
          <w:tcPr>
            <w:tcW w:type="dxa" w:w="2160"/>
          </w:tcPr>
          <w:p>
            <w:r>
              <w:t>&gt; 1.2</w:t>
            </w:r>
          </w:p>
        </w:tc>
        <w:tc>
          <w:tcPr>
            <w:tcW w:type="dxa" w:w="2160"/>
          </w:tcPr>
          <w:p>
            <w:r>
              <w:t>1.0-1.2</w:t>
            </w:r>
          </w:p>
        </w:tc>
        <w:tc>
          <w:tcPr>
            <w:tcW w:type="dxa" w:w="2160"/>
          </w:tcPr>
          <w:p>
            <w:r>
              <w:t>&lt; 1.0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12. ANEXOS TÉCNICOS</w:t>
      </w:r>
    </w:p>
    <w:p>
      <w:pPr>
        <w:pStyle w:val="Heading2"/>
      </w:pPr>
      <w:r>
        <w:rPr>
          <w:color w:val="004C99"/>
          <w:sz w:val="28"/>
        </w:rPr>
        <w:t>Anexo A: Fórmulas Matemáticas Completas</w:t>
      </w:r>
    </w:p>
    <w:p>
      <w:pPr>
        <w:pStyle w:val="Heading3"/>
      </w:pPr>
      <w:r>
        <w:rPr>
          <w:color w:val="336699"/>
          <w:sz w:val="24"/>
        </w:rPr>
        <w:t>A.1 Cálculo de Retornos Logarítmicos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r_t = ln(P_t / P_{t-1})</w:t>
      </w:r>
    </w:p>
    <w:p>
      <w:pPr>
        <w:pStyle w:val="Heading3"/>
      </w:pPr>
      <w:r>
        <w:rPr>
          <w:color w:val="336699"/>
          <w:sz w:val="24"/>
        </w:rPr>
        <w:t>A.2 Volatilidad Realizada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σ_realizada = √(Σ(r_t - r̄)² / (n - 1))</w:t>
      </w:r>
    </w:p>
    <w:p>
      <w:pPr>
        <w:pStyle w:val="Heading3"/>
      </w:pPr>
      <w:r>
        <w:rPr>
          <w:color w:val="336699"/>
          <w:sz w:val="24"/>
        </w:rPr>
        <w:t>A.3 Correlación entre Activos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ρ_xy = Cov(X,Y) / (σ_x × σ_y)</w:t>
      </w:r>
    </w:p>
    <w:p>
      <w:pPr>
        <w:pStyle w:val="Heading3"/>
      </w:pPr>
      <w:r>
        <w:rPr>
          <w:color w:val="336699"/>
          <w:sz w:val="24"/>
        </w:rPr>
        <w:t>A.4 Beta de un Activo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β_i = Cov(r_i, r_mercado) / Var(r_mercado)</w:t>
      </w:r>
    </w:p>
    <w:p>
      <w:pPr>
        <w:pStyle w:val="Heading2"/>
      </w:pPr>
      <w:r>
        <w:rPr>
          <w:color w:val="004C99"/>
          <w:sz w:val="28"/>
        </w:rPr>
        <w:t>Anexo B: Códigos de Sectores</w:t>
      </w:r>
    </w:p>
    <w:p>
      <w:pPr>
        <w:pStyle w:val="IntenseQuote"/>
      </w:pPr>
      <w:r>
        <w:rPr>
          <w:rFonts w:ascii="Courier New" w:hAnsi="Courier New"/>
          <w:color w:val="006400"/>
          <w:sz w:val="18"/>
        </w:rPr>
        <w:t>Tecnología: TECH</w:t>
        <w:br/>
        <w:t>Financieros: FIN</w:t>
        <w:br/>
        <w:t>Salud: HLTH</w:t>
        <w:br/>
        <w:t>Consumo Defensivo: COND</w:t>
        <w:br/>
        <w:t>Consumo Cíclico: CONC</w:t>
        <w:br/>
        <w:t>Industriales: IND</w:t>
        <w:br/>
        <w:t>Energía: ENRG</w:t>
        <w:br/>
        <w:t>Materiales: MAT</w:t>
        <w:br/>
        <w:t>Telecomunicaciones: TEL</w:t>
        <w:br/>
        <w:t>Servicios Públicos: UTIL</w:t>
      </w:r>
    </w:p>
    <w:p>
      <w:pPr>
        <w:pStyle w:val="Heading2"/>
      </w:pPr>
      <w:r>
        <w:rPr>
          <w:color w:val="004C99"/>
          <w:sz w:val="28"/>
        </w:rPr>
        <w:t>Anexo C: Calendario de Días No Hábiles</w:t>
      </w:r>
    </w:p>
    <w:p>
      <w:r/>
      <w:r>
        <w:rPr>
          <w:b/>
        </w:rPr>
        <w:t>Días de cierre del mercado (NYSE):</w:t>
      </w:r>
      <w:r/>
    </w:p>
    <w:p>
      <w:pPr>
        <w:pStyle w:val="ListBullet"/>
      </w:pPr>
      <w:r>
        <w:t>Año Nuevo (1 de enero)</w:t>
      </w:r>
    </w:p>
    <w:p>
      <w:pPr>
        <w:pStyle w:val="ListBullet"/>
      </w:pPr>
      <w:r>
        <w:t>Martin Luther King Jr. Day (3er lunes de enero)</w:t>
      </w:r>
    </w:p>
    <w:p>
      <w:pPr>
        <w:pStyle w:val="ListBullet"/>
      </w:pPr>
      <w:r>
        <w:t>Presidents' Day (3er lunes de febrero)</w:t>
      </w:r>
    </w:p>
    <w:p>
      <w:pPr>
        <w:pStyle w:val="ListBullet"/>
      </w:pPr>
      <w:r>
        <w:t>Good Friday (viernes antes de Pascua)</w:t>
      </w:r>
    </w:p>
    <w:p>
      <w:pPr>
        <w:pStyle w:val="ListBullet"/>
      </w:pPr>
      <w:r>
        <w:t>Memorial Day (último lunes de mayo)</w:t>
      </w:r>
    </w:p>
    <w:p>
      <w:pPr>
        <w:pStyle w:val="ListBullet"/>
      </w:pPr>
      <w:r>
        <w:t>Juneteenth (19 de junio)</w:t>
      </w:r>
    </w:p>
    <w:p>
      <w:pPr>
        <w:pStyle w:val="ListBullet"/>
      </w:pPr>
      <w:r>
        <w:t>Independence Day (4 de julio)</w:t>
      </w:r>
    </w:p>
    <w:p>
      <w:pPr>
        <w:pStyle w:val="ListBullet"/>
      </w:pPr>
      <w:r>
        <w:t>Labor Day (1er lunes de septiembre)</w:t>
      </w:r>
    </w:p>
    <w:p>
      <w:pPr>
        <w:pStyle w:val="ListBullet"/>
      </w:pPr>
      <w:r>
        <w:t>Thanksgiving (4to jueves de noviembre)</w:t>
      </w:r>
    </w:p>
    <w:p>
      <w:pPr>
        <w:pStyle w:val="ListBullet"/>
      </w:pPr>
      <w:r>
        <w:t>Christmas (25 de diciembre)</w:t>
      </w:r>
    </w:p>
    <w:p>
      <w:pPr>
        <w:pStyle w:val="Heading2"/>
      </w:pPr>
      <w:r>
        <w:rPr>
          <w:color w:val="004C99"/>
          <w:sz w:val="28"/>
        </w:rPr>
        <w:t>Anexo D: Glosario de Términos</w:t>
      </w:r>
    </w:p>
    <w:p>
      <w:r/>
      <w:r>
        <w:rPr>
          <w:b/>
        </w:rPr>
        <w:t>Composite Score</w:t>
      </w:r>
      <w:r>
        <w:t>: Puntuación ponderada que combina Value, Quality y Momentum</w:t>
      </w:r>
    </w:p>
    <w:p>
      <w:r/>
      <w:r>
        <w:rPr>
          <w:b/>
        </w:rPr>
        <w:t>Drawdown</w:t>
      </w:r>
      <w:r>
        <w:t>: Pérdida máxima desde un pico hasta un valle</w:t>
      </w:r>
    </w:p>
    <w:p>
      <w:r/>
      <w:r>
        <w:rPr>
          <w:b/>
        </w:rPr>
        <w:t>Hold Time</w:t>
      </w:r>
      <w:r>
        <w:t>: Tiempo que se mantiene una posición (666 minutos en OMNICAPITAL)</w:t>
      </w:r>
    </w:p>
    <w:p>
      <w:r/>
      <w:r>
        <w:rPr>
          <w:b/>
        </w:rPr>
        <w:t>Overnight Premium</w:t>
      </w:r>
      <w:r>
        <w:t>: Retorno promedio entre cierre y apertura siguiente</w:t>
      </w:r>
    </w:p>
    <w:p>
      <w:r/>
      <w:r>
        <w:rPr>
          <w:b/>
        </w:rPr>
        <w:t>Risk Parity</w:t>
      </w:r>
      <w:r>
        <w:t>: Método de sizing que asigna capital inversamente proporcional a la volatilidad</w:t>
      </w:r>
    </w:p>
    <w:p>
      <w:r/>
      <w:r>
        <w:rPr>
          <w:b/>
        </w:rPr>
        <w:t>Rebalanceo</w:t>
      </w:r>
      <w:r>
        <w:t>: Proceso de ajustar el portafolio según nuevas señales</w:t>
      </w:r>
    </w:p>
    <w:p>
      <w:r/>
      <w:r>
        <w:rPr>
          <w:b/>
        </w:rPr>
        <w:t>Win Rate</w:t>
      </w:r>
      <w:r>
        <w:t>: Porcentaje de operaciones ganadoras</w:t>
      </w:r>
    </w:p>
    <w:p>
      <w:pPr>
        <w:pStyle w:val="Heading2"/>
      </w:pPr>
      <w:r>
        <w:rPr>
          <w:color w:val="004C99"/>
          <w:sz w:val="28"/>
        </w:rPr>
        <w:t>Anexo E: Historial de Versiones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CAGR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Value-First Strategy</w:t>
            </w:r>
          </w:p>
        </w:tc>
        <w:tc>
          <w:tcPr>
            <w:tcW w:type="dxa" w:w="2160"/>
          </w:tcPr>
          <w:p>
            <w:r>
              <w:t>6-8%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Multi-Strategy Ensemble</w:t>
            </w:r>
          </w:p>
        </w:tc>
        <w:tc>
          <w:tcPr>
            <w:tcW w:type="dxa" w:w="2160"/>
          </w:tcPr>
          <w:p>
            <w:r>
              <w:t>6.27%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Consolidated V+Q+M</w:t>
            </w:r>
          </w:p>
        </w:tc>
        <w:tc>
          <w:tcPr>
            <w:tcW w:type="dxa" w:w="2160"/>
          </w:tcPr>
          <w:p>
            <w:r>
              <w:t>3.80%</w:t>
            </w:r>
          </w:p>
        </w:tc>
      </w:tr>
      <w:tr>
        <w:tc>
          <w:tcPr>
            <w:tcW w:type="dxa" w:w="2160"/>
          </w:tcPr>
          <w:p>
            <w:r>
              <w:t>v4.0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MicroManagement</w:t>
            </w:r>
          </w:p>
        </w:tc>
        <w:tc>
          <w:tcPr>
            <w:tcW w:type="dxa" w:w="2160"/>
          </w:tcPr>
          <w:p>
            <w:r>
              <w:t>2.05%</w:t>
            </w:r>
          </w:p>
        </w:tc>
      </w:tr>
      <w:tr>
        <w:tc>
          <w:tcPr>
            <w:tcW w:type="dxa" w:w="2160"/>
          </w:tcPr>
          <w:p>
            <w:r>
              <w:t>v5.0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3-Day Hold (FALLIDO)</w:t>
            </w:r>
          </w:p>
        </w:tc>
        <w:tc>
          <w:tcPr>
            <w:tcW w:type="dxa" w:w="2160"/>
          </w:tcPr>
          <w:p>
            <w:r>
              <w:t>-8.46%</w:t>
            </w:r>
          </w:p>
        </w:tc>
      </w:tr>
      <w:tr>
        <w:tc>
          <w:tcPr>
            <w:tcW w:type="dxa" w:w="2160"/>
          </w:tcPr>
          <w:p>
            <w:r>
              <w:t>v6.0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Random + Exact 666</w:t>
            </w:r>
          </w:p>
        </w:tc>
        <w:tc>
          <w:tcPr>
            <w:tcW w:type="dxa" w:w="2160"/>
          </w:tcPr>
          <w:p>
            <w:r>
              <w:t>12.82%</w:t>
            </w:r>
          </w:p>
        </w:tc>
      </w:tr>
      <w:tr>
        <w:tc>
          <w:tcPr>
            <w:tcW w:type="dxa" w:w="2160"/>
          </w:tcPr>
          <w:p>
            <w:r>
              <w:t>v7.0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Hybrid Value+666</w:t>
            </w:r>
          </w:p>
        </w:tc>
        <w:tc>
          <w:tcPr>
            <w:tcW w:type="dxa" w:w="2160"/>
          </w:tcPr>
          <w:p>
            <w:r>
              <w:t>17.09%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rPr>
          <w:color w:val="003366"/>
          <w:sz w:val="36"/>
        </w:rPr>
        <w:t>DECLARACIÓN FINAL</w:t>
      </w:r>
    </w:p>
    <w:p>
      <w:r>
        <w:t>Este Manifiesto representa el estado actual del conocimiento y metodología de OMNICAPITAL. Cada regla aquí documentada ha sido:</w:t>
      </w:r>
    </w:p>
    <w:p>
      <w:pPr>
        <w:pStyle w:val="ListNumber"/>
      </w:pPr>
      <w:r>
        <w:t>**Diseñada** con base en principios financieros sólidos</w:t>
      </w:r>
    </w:p>
    <w:p>
      <w:pPr>
        <w:pStyle w:val="ListNumber"/>
      </w:pPr>
      <w:r>
        <w:t>**Probada** mediante backtesting riguroso (mínimo 20 años de datos)</w:t>
      </w:r>
    </w:p>
    <w:p>
      <w:pPr>
        <w:pStyle w:val="ListNumber"/>
      </w:pPr>
      <w:r>
        <w:t>**Validada** contra múltiples regímenes de mercado</w:t>
      </w:r>
    </w:p>
    <w:p>
      <w:pPr>
        <w:pStyle w:val="ListNumber"/>
      </w:pPr>
      <w:r>
        <w:t>**Documentada** para auditabilidad completa</w:t>
      </w:r>
    </w:p>
    <w:p>
      <w:r>
        <w:t>El sistema no garantiza retornos futuros, pero garantiza transparencia, disciplina y gestión de riesgo sistemática.</w:t>
      </w:r>
    </w:p>
    <w:p>
      <w:r/>
      <w:r>
        <w:rPr>
          <w:b/>
        </w:rPr>
        <w:t>"In Data We Trust"</w:t>
      </w:r>
      <w:r/>
    </w:p>
    <w:p>
      <w:r>
        <w:t>__________________________________________________</w:t>
      </w:r>
    </w:p>
    <w:p>
      <w:r>
        <w:t xml:space="preserve">*Documento versión 7.0 - Febrero 2026*  </w:t>
      </w:r>
    </w:p>
    <w:p>
      <w:r>
        <w:t>*Próxima revisión programada: Marzo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