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p>
    <w:p>
      <w:pPr>
        <w:spacing w:before="800" w:after="800"/>
      </w:pPr>
    </w:p>
    <w:p>
      <w:pPr>
        <w:pBdr>
          <w:bottom w:val="single" w:color="D4A843" w:sz="4" w:space="8"/>
        </w:pBdr>
        <w:spacing w:before="0" w:after="200"/>
        <w:jc w:val="center"/>
      </w:pPr>
    </w:p>
    <w:p>
      <w:pPr>
        <w:spacing w:before="200" w:after="200"/>
      </w:pPr>
    </w:p>
    <w:p>
      <w:pPr>
        <w:spacing w:before="0" w:after="0"/>
        <w:jc w:val="center"/>
      </w:pPr>
      <w:r>
        <w:rPr>
          <w:rFonts w:ascii="Arial" w:cs="Arial" w:eastAsia="Arial" w:hAnsi="Arial"/>
          <w:b/>
          <w:bCs/>
          <w:color w:val="1B2A4A"/>
          <w:sz w:val="72"/>
          <w:szCs w:val="72"/>
        </w:rPr>
        <w:t xml:space="preserve">OMNICAPITAL</w:t>
      </w:r>
    </w:p>
    <w:p>
      <w:pPr>
        <w:spacing w:before="40" w:after="40"/>
      </w:pPr>
    </w:p>
    <w:p>
      <w:pPr>
        <w:spacing w:before="0" w:after="0"/>
        <w:jc w:val="center"/>
      </w:pPr>
      <w:r>
        <w:rPr>
          <w:rFonts w:ascii="Arial" w:cs="Arial" w:eastAsia="Arial" w:hAnsi="Arial"/>
          <w:color w:val="2E86AB"/>
          <w:spacing w:val="300"/>
          <w:sz w:val="36"/>
          <w:szCs w:val="36"/>
        </w:rPr>
        <w:t xml:space="preserve">MANIFIESTO</w:t>
      </w:r>
    </w:p>
    <w:p>
      <w:pPr>
        <w:spacing w:before="100" w:after="100"/>
      </w:pPr>
    </w:p>
    <w:p>
      <w:pPr>
        <w:pBdr>
          <w:bottom w:val="single" w:color="D4A843" w:sz="4" w:space="8"/>
        </w:pBdr>
        <w:spacing w:before="0" w:after="200"/>
        <w:jc w:val="center"/>
      </w:pPr>
    </w:p>
    <w:p>
      <w:pPr>
        <w:spacing w:before="200" w:after="200"/>
      </w:pPr>
    </w:p>
    <w:p>
      <w:pPr>
        <w:spacing w:before="0" w:after="60"/>
        <w:jc w:val="center"/>
      </w:pPr>
      <w:r>
        <w:rPr>
          <w:rFonts w:ascii="Arial" w:cs="Arial" w:eastAsia="Arial" w:hAnsi="Arial"/>
          <w:color w:val="4A5568"/>
          <w:sz w:val="26"/>
          <w:szCs w:val="26"/>
        </w:rPr>
        <w:t xml:space="preserve">Sistema Integral de Gestión de Capital Algorítmico</w:t>
      </w:r>
    </w:p>
    <w:p>
      <w:pPr>
        <w:spacing w:before="60" w:after="6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4A5568"/>
                <w:sz w:val="20"/>
                <w:szCs w:val="20"/>
              </w:rPr>
              <w:t xml:space="preserve">Versión</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t>7.0.1</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4A5568"/>
                <w:sz w:val="20"/>
                <w:szCs w:val="20"/>
              </w:rPr>
              <w:t xml:space="preserve">Fecha</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B2A4A"/>
                <w:sz w:val="20"/>
                <w:szCs w:val="20"/>
              </w:rPr>
              <w:t xml:space="preserve">Febrero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4A5568"/>
                <w:sz w:val="20"/>
                <w:szCs w:val="20"/>
              </w:rPr>
              <w:t xml:space="preserve">Clasificación</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B2A4A"/>
                <w:sz w:val="20"/>
                <w:szCs w:val="20"/>
              </w:rPr>
              <w:t xml:space="preserve">Documento Fundacional</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4A5568"/>
                <w:sz w:val="20"/>
                <w:szCs w:val="20"/>
              </w:rPr>
              <w:t xml:space="preserve">Estado</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B2A4A"/>
                <w:sz w:val="20"/>
                <w:szCs w:val="20"/>
              </w:rPr>
              <w:t xml:space="preserve">DEFINITIVO</w:t>
            </w:r>
          </w:p>
        </w:tc>
      </w:tr>
    </w:tbl>
    <w:p>
      <w:pPr>
        <w:spacing w:before="600" w:after="600"/>
      </w:pPr>
    </w:p>
    <w:p>
      <w:pPr>
        <w:jc w:val="center"/>
      </w:pPr>
      <w:r>
        <w:rPr>
          <w:rFonts w:ascii="Arial" w:cs="Arial" w:eastAsia="Arial" w:hAnsi="Arial"/>
          <w:i/>
          <w:iCs/>
          <w:color w:val="D4A843"/>
          <w:sz w:val="24"/>
          <w:szCs w:val="24"/>
        </w:rPr>
        <w:t xml:space="preserve">“In Data We Trust”</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before="100" w:after="300"/>
      </w:pPr>
      <w:r>
        <w:rPr>
          <w:rFonts w:ascii="Arial" w:cs="Arial" w:eastAsia="Arial" w:hAnsi="Arial"/>
          <w:b/>
          <w:bCs/>
          <w:color w:val="1B2A4A"/>
          <w:sz w:val="36"/>
          <w:szCs w:val="36"/>
        </w:rPr>
        <w:t xml:space="preserve">ÍNDICE</w:t>
      </w:r>
    </w:p>
    <w:p>
      <w:pPr>
        <w:pBdr>
          <w:bottom w:val="single" w:color="2E86AB" w:sz="3" w:space="4"/>
        </w:pBdr>
        <w:spacing w:before="0" w:after="200"/>
      </w:pPr>
    </w:p>
    <w:sdt>
      <w:sdtPr>
        <w:alias w:val="Table of Contents"/>
      </w:sdtPr>
      <w:sdtContent>
        <w:p>
          <w:r>
            <w:fldChar w:fldCharType="begin" w:dirty="true"/>
            <w:instrText xml:space="preserve">TOC \h \o "1-3"</w:instrText>
            <w:fldChar w:fldCharType="separate"/>
          </w:r>
        </w:p>
        <w:p>
          <w:r>
            <w:fldChar w:fldCharType="end"/>
          </w:r>
        </w:p>
      </w:sdtContent>
    </w:sdt>
    <w:p>
      <w:pPr>
        <w:spacing w:before="200" w:after="200"/>
      </w:pPr>
    </w:p>
    <w:p>
      <w:pPr>
        <w:spacing w:before="60" w:after="60"/>
        <w:jc w:val="left"/>
      </w:pPr>
      <w:r>
        <w:rPr>
          <w:rFonts w:ascii="Arial" w:cs="Arial" w:eastAsia="Arial" w:hAnsi="Arial"/>
          <w:b w:val="false"/>
          <w:bCs w:val="false"/>
          <w:i/>
          <w:iCs/>
          <w:color w:val="4A5568"/>
          <w:sz w:val="18"/>
          <w:szCs w:val="18"/>
        </w:rPr>
        <w:t xml:space="preserve">Nota: Actualice la tabla de contenido haciendo clic derecho sobre ella y seleccionando “Actualizar campo”.</w:t>
      </w:r>
    </w:p>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1</w:t>
      </w:r>
      <w:r>
        <w:rPr>
          <w:rFonts w:ascii="Arial" w:cs="Arial" w:eastAsia="Arial" w:hAnsi="Arial"/>
          <w:b/>
          <w:bCs/>
          <w:color w:val="1B2A4A"/>
          <w:sz w:val="32"/>
          <w:szCs w:val="32"/>
        </w:rPr>
        <w:t xml:space="preserve">  FILOSOFÍA DEL SISTEMA</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1.1 Declaración de Propósito</w:t>
      </w:r>
    </w:p>
    <w:p>
      <w:pPr>
        <w:spacing w:before="60" w:after="60"/>
        <w:jc w:val="left"/>
      </w:pPr>
      <w:r>
        <w:rPr>
          <w:rFonts w:ascii="Arial" w:cs="Arial" w:eastAsia="Arial" w:hAnsi="Arial"/>
          <w:b w:val="false"/>
          <w:bCs w:val="false"/>
          <w:i w:val="false"/>
          <w:iCs w:val="false"/>
          <w:color w:val="1E1E1E"/>
          <w:sz w:val="21"/>
          <w:szCs w:val="21"/>
        </w:rPr>
        <w:t xml:space="preserve">OMNICAPITAL es un sistema de gestión de capital diseñado para generar rendimientos superiores al mercado mediante la combinación sistemática de:</w:t>
      </w:r>
    </w:p>
    <w:p>
      <w:pPr>
        <w:pStyle w:val="ListParagraph"/>
        <w:numPr>
          <w:ilvl w:val="0"/>
          <w:numId w:val="2"/>
        </w:numPr>
        <w:spacing w:before="40" w:after="40"/>
      </w:pPr>
      <w:r>
        <w:rPr>
          <w:rFonts w:ascii="Arial" w:cs="Arial" w:eastAsia="Arial" w:hAnsi="Arial"/>
          <w:b/>
          <w:bCs/>
          <w:color w:val="1E1E1E"/>
          <w:sz w:val="21"/>
          <w:szCs w:val="21"/>
        </w:rPr>
        <w:t xml:space="preserve">Análisis Fundamental Cuantitativo: </w:t>
      </w:r>
      <w:r>
        <w:rPr>
          <w:rFonts w:ascii="Arial" w:cs="Arial" w:eastAsia="Arial" w:hAnsi="Arial"/>
          <w:color w:val="1E1E1E"/>
          <w:sz w:val="21"/>
          <w:szCs w:val="21"/>
        </w:rPr>
        <w:t xml:space="preserve">Identificación de empresas de alta calidad a precios razonables</w:t>
      </w:r>
    </w:p>
    <w:p>
      <w:pPr>
        <w:pStyle w:val="ListParagraph"/>
        <w:numPr>
          <w:ilvl w:val="0"/>
          <w:numId w:val="2"/>
        </w:numPr>
        <w:spacing w:before="40" w:after="40"/>
      </w:pPr>
      <w:r>
        <w:rPr>
          <w:rFonts w:ascii="Arial" w:cs="Arial" w:eastAsia="Arial" w:hAnsi="Arial"/>
          <w:b/>
          <w:bCs/>
          <w:color w:val="1E1E1E"/>
          <w:sz w:val="21"/>
          <w:szCs w:val="21"/>
        </w:rPr>
        <w:t xml:space="preserve">Timing Algorítmico Preciso: </w:t>
      </w:r>
      <w:r>
        <w:rPr>
          <w:rFonts w:ascii="Arial" w:cs="Arial" w:eastAsia="Arial" w:hAnsi="Arial"/>
          <w:color w:val="1E1E1E"/>
          <w:sz w:val="21"/>
          <w:szCs w:val="21"/>
        </w:rPr>
        <w:t xml:space="preserve">Explotación de anomalías temporales de corto plazo</w:t>
      </w:r>
    </w:p>
    <w:p>
      <w:pPr>
        <w:pStyle w:val="ListParagraph"/>
        <w:numPr>
          <w:ilvl w:val="0"/>
          <w:numId w:val="2"/>
        </w:numPr>
        <w:spacing w:before="40" w:after="40"/>
      </w:pPr>
      <w:r>
        <w:rPr>
          <w:rFonts w:ascii="Arial" w:cs="Arial" w:eastAsia="Arial" w:hAnsi="Arial"/>
          <w:b/>
          <w:bCs/>
          <w:color w:val="1E1E1E"/>
          <w:sz w:val="21"/>
          <w:szCs w:val="21"/>
        </w:rPr>
        <w:t xml:space="preserve">Gestión de Riesgo Dinámica: </w:t>
      </w:r>
      <w:r>
        <w:rPr>
          <w:rFonts w:ascii="Arial" w:cs="Arial" w:eastAsia="Arial" w:hAnsi="Arial"/>
          <w:color w:val="1E1E1E"/>
          <w:sz w:val="21"/>
          <w:szCs w:val="21"/>
        </w:rPr>
        <w:t xml:space="preserve">Protección del capital mediante diversificación y sizing adaptativo</w:t>
      </w:r>
    </w:p>
    <w:p>
      <w:pPr>
        <w:pStyle w:val="Heading2"/>
        <w:spacing w:before="240" w:after="120"/>
      </w:pPr>
      <w:r>
        <w:rPr>
          <w:rFonts w:ascii="Arial" w:cs="Arial" w:eastAsia="Arial" w:hAnsi="Arial"/>
          <w:b/>
          <w:bCs/>
          <w:color w:val="1B2A4A"/>
          <w:sz w:val="26"/>
          <w:szCs w:val="26"/>
        </w:rPr>
        <w:t xml:space="preserve">1.2 Creencias Fundamentales</w:t>
      </w:r>
    </w:p>
    <w:p>
      <w:pPr>
        <w:pStyle w:val="ListParagraph"/>
        <w:numPr>
          <w:ilvl w:val="0"/>
          <w:numId w:val="3"/>
        </w:numPr>
        <w:spacing w:before="40" w:after="40"/>
      </w:pPr>
      <w:r>
        <w:rPr>
          <w:rFonts w:ascii="Arial" w:cs="Arial" w:eastAsia="Arial" w:hAnsi="Arial"/>
          <w:color w:val="1E1E1E"/>
          <w:sz w:val="21"/>
          <w:szCs w:val="21"/>
        </w:rPr>
        <w:t xml:space="preserve">Los fundamentales importan a largo plazo: Las empresas con buenos ratios de valor y calidad superan a las de baja calidad en horizontes de 1–3 años</w:t>
      </w:r>
    </w:p>
    <w:p>
      <w:pPr>
        <w:pStyle w:val="ListParagraph"/>
        <w:numPr>
          <w:ilvl w:val="0"/>
          <w:numId w:val="3"/>
        </w:numPr>
        <w:spacing w:before="40" w:after="40"/>
      </w:pPr>
      <w:r>
        <w:rPr>
          <w:rFonts w:ascii="Arial" w:cs="Arial" w:eastAsia="Arial" w:hAnsi="Arial"/>
          <w:color w:val="1E1E1E"/>
          <w:sz w:val="21"/>
          <w:szCs w:val="21"/>
        </w:rPr>
        <w:t xml:space="preserve">El timing importa a corto plazo: El período overnight (cierre a apertura siguiente) contiene premios sistemáticos no explicados por modelos clásicos</w:t>
      </w:r>
    </w:p>
    <w:p>
      <w:pPr>
        <w:pStyle w:val="ListParagraph"/>
        <w:numPr>
          <w:ilvl w:val="0"/>
          <w:numId w:val="3"/>
        </w:numPr>
        <w:spacing w:before="40" w:after="40"/>
      </w:pPr>
      <w:r>
        <w:rPr>
          <w:rFonts w:ascii="Arial" w:cs="Arial" w:eastAsia="Arial" w:hAnsi="Arial"/>
          <w:color w:val="1E1E1E"/>
          <w:sz w:val="21"/>
          <w:szCs w:val="21"/>
        </w:rPr>
        <w:t xml:space="preserve">La volatilidad es predecible: La volatilidad reciente predice la volatilidad futura mejor que los retornos</w:t>
      </w:r>
    </w:p>
    <w:p>
      <w:pPr>
        <w:pStyle w:val="ListParagraph"/>
        <w:numPr>
          <w:ilvl w:val="0"/>
          <w:numId w:val="3"/>
        </w:numPr>
        <w:spacing w:before="40" w:after="40"/>
      </w:pPr>
      <w:r>
        <w:rPr>
          <w:rFonts w:ascii="Arial" w:cs="Arial" w:eastAsia="Arial" w:hAnsi="Arial"/>
          <w:color w:val="1E1E1E"/>
          <w:sz w:val="21"/>
          <w:szCs w:val="21"/>
        </w:rPr>
        <w:t xml:space="preserve">La diversificación es la única protección real: Ningún activo individual debe representar más del 20% del portafolio</w:t>
      </w:r>
    </w:p>
    <w:p>
      <w:pPr>
        <w:pStyle w:val="ListParagraph"/>
        <w:numPr>
          <w:ilvl w:val="0"/>
          <w:numId w:val="3"/>
        </w:numPr>
        <w:spacing w:before="40" w:after="40"/>
      </w:pPr>
      <w:r>
        <w:rPr>
          <w:rFonts w:ascii="Arial" w:cs="Arial" w:eastAsia="Arial" w:hAnsi="Arial"/>
          <w:color w:val="1E1E1E"/>
          <w:sz w:val="21"/>
          <w:szCs w:val="21"/>
        </w:rPr>
        <w:t xml:space="preserve">Las pérdidas se controlan por sizing, no por stops: Es mejor reducir exposición que depender de órdenes de stop que pueden fallar en gap-downs</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2</w:t>
      </w:r>
      <w:r>
        <w:rPr>
          <w:rFonts w:ascii="Arial" w:cs="Arial" w:eastAsia="Arial" w:hAnsi="Arial"/>
          <w:b/>
          <w:bCs/>
          <w:color w:val="1B2A4A"/>
          <w:sz w:val="32"/>
          <w:szCs w:val="32"/>
        </w:rPr>
        <w:t xml:space="preserve">  PRINCIPIOS FUNDAMENTALES</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2.1 Regla de Oro #1: Preservación de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FF9E6"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ANTE LA DUDA, REDUCIR EXPOSICIÓN.</w:t>
            </w:r>
          </w:p>
        </w:tc>
      </w:tr>
    </w:tbl>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Ninguna oportunidad justifica poner en riesgo más del 5% del capital en una sola posición.</w:t>
      </w:r>
    </w:p>
    <w:p>
      <w:pPr/>
    </w:p>
    <w:p>
      <w:pPr/>
      <w:r>
        <w:t>Definición operativa de 'riesgo' (en este manifiesto):</w:t>
      </w:r>
    </w:p>
    <w:p>
      <w:pPr/>
      <w:r>
        <w:t>Riesgo por posición = pérdida estimada bajo escenario adverso a 1 día (Expected Shortfall - ES 97.5% o escenario de gap) expresada como % del capital.</w:t>
      </w:r>
    </w:p>
    <w:p>
      <w:pPr/>
      <w:r>
        <w:t>Regla 5%: ninguna posición debe superar ES/GAP &lt;= 5% del capital.</w:t>
      </w:r>
    </w:p>
    <w:p>
      <w:pPr/>
      <w:r>
        <w:t>Nota: el límite 'máximo por posición 20%' (Sección 6.5) es un límite de concentración de capital, no un límite de pérdida esperada. El sizing final debe respetar ambos.</w:t>
      </w:r>
    </w:p>
    <w:p>
      <w:pPr>
        <w:pStyle w:val="Heading2"/>
        <w:spacing w:before="240" w:after="120"/>
      </w:pPr>
      <w:r>
        <w:rPr>
          <w:rFonts w:ascii="Arial" w:cs="Arial" w:eastAsia="Arial" w:hAnsi="Arial"/>
          <w:b/>
          <w:bCs/>
          <w:color w:val="1B2A4A"/>
          <w:sz w:val="26"/>
          <w:szCs w:val="26"/>
        </w:rPr>
        <w:t xml:space="preserve">2.2 Regla de Oro #2: Disciplina Mecánica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FF9E6"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EL SISTEMA NO DEBE SER OVERRIDEADO POR JUICIO DISCRECIONAL.</w:t>
            </w:r>
          </w:p>
        </w:tc>
      </w:tr>
    </w:tbl>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Una vez establecidos los parámetros, el sistema opera sin intervención humana excepto en casos de:</w:t>
      </w:r>
    </w:p>
    <w:p>
      <w:pPr>
        <w:pStyle w:val="ListParagraph"/>
        <w:numPr>
          <w:ilvl w:val="0"/>
          <w:numId w:val="2"/>
        </w:numPr>
        <w:spacing w:before="40" w:after="40"/>
      </w:pPr>
      <w:r>
        <w:rPr>
          <w:rFonts w:ascii="Arial" w:cs="Arial" w:eastAsia="Arial" w:hAnsi="Arial"/>
          <w:color w:val="1E1E1E"/>
          <w:sz w:val="21"/>
          <w:szCs w:val="21"/>
        </w:rPr>
        <w:t xml:space="preserve">Falla técnica catastrófica</w:t>
      </w:r>
    </w:p>
    <w:p>
      <w:pPr>
        <w:pStyle w:val="ListParagraph"/>
        <w:numPr>
          <w:ilvl w:val="0"/>
          <w:numId w:val="2"/>
        </w:numPr>
        <w:spacing w:before="40" w:after="40"/>
      </w:pPr>
      <w:r>
        <w:rPr>
          <w:rFonts w:ascii="Arial" w:cs="Arial" w:eastAsia="Arial" w:hAnsi="Arial"/>
          <w:color w:val="1E1E1E"/>
          <w:sz w:val="21"/>
          <w:szCs w:val="21"/>
        </w:rPr>
        <w:t xml:space="preserve">Evento de mercado de cola negra (black swan) no modelado</w:t>
      </w:r>
    </w:p>
    <w:p>
      <w:pPr>
        <w:pStyle w:val="ListParagraph"/>
        <w:numPr>
          <w:ilvl w:val="0"/>
          <w:numId w:val="2"/>
        </w:numPr>
        <w:spacing w:before="40" w:after="40"/>
      </w:pPr>
      <w:r>
        <w:rPr>
          <w:rFonts w:ascii="Arial" w:cs="Arial" w:eastAsia="Arial" w:hAnsi="Arial"/>
          <w:color w:val="1E1E1E"/>
          <w:sz w:val="21"/>
          <w:szCs w:val="21"/>
        </w:rPr>
        <w:t xml:space="preserve">Cambio regulatorio que invalide la estrategia</w:t>
      </w:r>
    </w:p>
    <w:p>
      <w:pPr>
        <w:pStyle w:val="ListParagraph"/>
      </w:pPr>
      <w:r>
        <w:t>Toda excepción se gestiona como incidente y debe seguir el Protocolo de Excepciones y Gobernanza (Sección 8.5).</w:t>
      </w:r>
    </w:p>
    <w:p>
      <w:pPr>
        <w:pStyle w:val="ListParagraph"/>
      </w:pPr>
      <w:r>
        <w:t>No se permite intervenir para 'mejorar' resultados o 'evitar' pérdidas normales del sistema. Solo se permite intervenir para preservar operatividad, integridad legal/regulatoria o ante eventos extremos definidos.</w:t>
      </w:r>
    </w:p>
    <w:p>
      <w:pPr>
        <w:pStyle w:val="Heading2"/>
        <w:spacing w:before="240" w:after="120"/>
      </w:pPr>
      <w:r>
        <w:rPr>
          <w:rFonts w:ascii="Arial" w:cs="Arial" w:eastAsia="Arial" w:hAnsi="Arial"/>
          <w:b/>
          <w:bCs/>
          <w:color w:val="1B2A4A"/>
          <w:sz w:val="26"/>
          <w:szCs w:val="26"/>
        </w:rPr>
        <w:t xml:space="preserve">2.3 Regla de Oro #3: Transparencia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FF9E6"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CADA DECISIÓN DEBE SER AUDITABLE Y REPRODUCIBLE.</w:t>
            </w:r>
          </w:p>
        </w:tc>
      </w:tr>
    </w:tbl>
    <w:p>
      <w:pPr>
        <w:spacing w:before="60" w:after="60"/>
      </w:pPr>
    </w:p>
    <w:p>
      <w:pPr>
        <w:pStyle w:val="ListParagraph"/>
        <w:numPr>
          <w:ilvl w:val="0"/>
          <w:numId w:val="2"/>
        </w:numPr>
        <w:spacing w:before="40" w:after="40"/>
      </w:pPr>
      <w:r>
        <w:rPr>
          <w:rFonts w:ascii="Arial" w:cs="Arial" w:eastAsia="Arial" w:hAnsi="Arial"/>
          <w:color w:val="1E1E1E"/>
          <w:sz w:val="21"/>
          <w:szCs w:val="21"/>
        </w:rPr>
        <w:t xml:space="preserve">Todas las señales deben quedar registradas con timestamp</w:t>
      </w:r>
    </w:p>
    <w:p>
      <w:pPr>
        <w:pStyle w:val="ListParagraph"/>
        <w:numPr>
          <w:ilvl w:val="0"/>
          <w:numId w:val="2"/>
        </w:numPr>
        <w:spacing w:before="40" w:after="40"/>
      </w:pPr>
      <w:r>
        <w:rPr>
          <w:rFonts w:ascii="Arial" w:cs="Arial" w:eastAsia="Arial" w:hAnsi="Arial"/>
          <w:color w:val="1E1E1E"/>
          <w:sz w:val="21"/>
          <w:szCs w:val="21"/>
        </w:rPr>
        <w:t xml:space="preserve">Todos los cálculos deben ser reproducibles con los mismos datos</w:t>
      </w:r>
    </w:p>
    <w:p>
      <w:pPr>
        <w:pStyle w:val="ListParagraph"/>
        <w:numPr>
          <w:ilvl w:val="0"/>
          <w:numId w:val="2"/>
        </w:numPr>
        <w:spacing w:before="40" w:after="40"/>
      </w:pPr>
      <w:r>
        <w:rPr>
          <w:rFonts w:ascii="Arial" w:cs="Arial" w:eastAsia="Arial" w:hAnsi="Arial"/>
          <w:color w:val="1E1E1E"/>
          <w:sz w:val="21"/>
          <w:szCs w:val="21"/>
        </w:rPr>
        <w:t xml:space="preserve">Todos los cambios al sistema deben versionarse</w:t>
      </w:r>
    </w:p>
    <w:p>
      <w:pPr>
        <w:pStyle w:val="ListParagraph"/>
      </w:pPr>
      <w:r>
        <w:t>Los datasets deben poder reconstruirse a partir de un snapshot (fecha, proveedor y versión).</w:t>
      </w:r>
    </w:p>
    <w:p>
      <w:pPr>
        <w:pStyle w:val="ListParagraph"/>
      </w:pPr>
      <w:r>
        <w:t>Acciones corporativas (splits, dividendos, spin-offs, cambios de ticker) deben registrarse explícitamente.</w:t>
      </w:r>
    </w:p>
    <w:p>
      <w:pPr>
        <w:pStyle w:val="ListParagraph"/>
      </w:pPr>
      <w:r>
        <w:t>Cada backtest debe registrar: versión del código, parámetros, fecha de ejecución y semilla aleatoria (si aplica).</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3</w:t>
      </w:r>
      <w:r>
        <w:rPr>
          <w:rFonts w:ascii="Arial" w:cs="Arial" w:eastAsia="Arial" w:hAnsi="Arial"/>
          <w:b/>
          <w:bCs/>
          <w:color w:val="1B2A4A"/>
          <w:sz w:val="32"/>
          <w:szCs w:val="32"/>
        </w:rPr>
        <w:t xml:space="preserve">  ESTRUCTURA DEL UNIVERSO DE INVERSIÓN</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3.1 Definición del Universo</w:t>
      </w:r>
    </w:p>
    <w:p>
      <w:pPr>
        <w:spacing w:before="60" w:after="60"/>
        <w:jc w:val="left"/>
      </w:pPr>
      <w:r>
        <w:rPr>
          <w:rFonts w:ascii="Arial" w:cs="Arial" w:eastAsia="Arial" w:hAnsi="Arial"/>
          <w:b w:val="false"/>
          <w:bCs w:val="false"/>
          <w:i w:val="false"/>
          <w:iCs w:val="false"/>
          <w:color w:val="1E1E1E"/>
          <w:sz w:val="21"/>
          <w:szCs w:val="21"/>
        </w:rPr>
        <w:t xml:space="preserve">El universo de inversión consiste en los siguientes 40 símbolos del S&amp;P 500:</w:t>
      </w:r>
    </w:p>
    <w:p>
      <w:pPr>
        <w:spacing w:before="80" w:after="80"/>
      </w:pP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800"/>
        <w:gridCol w:w="200"/>
        <w:gridCol w:w="1200"/>
        <w:gridCol w:w="3300"/>
        <w:gridCol w:w="800"/>
      </w:tblGrid>
      <w:tr>
        <w:trPr>
          <w:tblHeader/>
        </w:trPr>
        <w:tc>
          <w:tcPr>
            <w:tcW w:type="dxa" w:w="1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pPr>
              <w:spacing w:before="10" w:after="10"/>
            </w:pPr>
            <w:r>
              <w:rPr>
                <w:rFonts w:ascii="Arial" w:cs="Arial" w:eastAsia="Arial" w:hAnsi="Arial"/>
                <w:b/>
                <w:bCs/>
                <w:color w:val="FFFFFF"/>
                <w:sz w:val="17"/>
                <w:szCs w:val="17"/>
              </w:rPr>
              <w:t xml:space="preserve">Ticker</w:t>
            </w:r>
          </w:p>
        </w:tc>
        <w:tc>
          <w:tcPr>
            <w:tcW w:type="dxa" w:w="33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pPr>
              <w:spacing w:before="10" w:after="10"/>
            </w:pPr>
            <w:r>
              <w:rPr>
                <w:rFonts w:ascii="Arial" w:cs="Arial" w:eastAsia="Arial" w:hAnsi="Arial"/>
                <w:b/>
                <w:bCs/>
                <w:color w:val="FFFFFF"/>
                <w:sz w:val="17"/>
                <w:szCs w:val="17"/>
              </w:rPr>
              <w:t xml:space="preserve">Empresa</w:t>
            </w:r>
          </w:p>
        </w:tc>
        <w:tc>
          <w:tcPr>
            <w:tcW w:type="dxa" w:w="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pPr>
              <w:spacing w:before="10" w:after="10"/>
            </w:pPr>
            <w:r>
              <w:rPr>
                <w:rFonts w:ascii="Arial" w:cs="Arial" w:eastAsia="Arial" w:hAnsi="Arial"/>
                <w:b/>
                <w:bCs/>
                <w:color w:val="FFFFFF"/>
                <w:sz w:val="17"/>
                <w:szCs w:val="17"/>
              </w:rPr>
              <w:t xml:space="preserve">Sector</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pPr>
              <w:spacing w:before="10" w:after="10"/>
            </w:pPr>
            <w:r>
              <w:rPr>
                <w:rFonts w:ascii="Arial" w:cs="Arial" w:eastAsia="Arial" w:hAnsi="Arial"/>
                <w:b/>
                <w:bCs/>
                <w:color w:val="FFFFFF"/>
                <w:sz w:val="17"/>
                <w:szCs w:val="17"/>
              </w:rPr>
              <w:t xml:space="preserve">Ticker</w:t>
            </w:r>
          </w:p>
        </w:tc>
        <w:tc>
          <w:tcPr>
            <w:tcW w:type="dxa" w:w="33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pPr>
              <w:spacing w:before="10" w:after="10"/>
            </w:pPr>
            <w:r>
              <w:rPr>
                <w:rFonts w:ascii="Arial" w:cs="Arial" w:eastAsia="Arial" w:hAnsi="Arial"/>
                <w:b/>
                <w:bCs/>
                <w:color w:val="FFFFFF"/>
                <w:sz w:val="17"/>
                <w:szCs w:val="17"/>
              </w:rPr>
              <w:t xml:space="preserve">Empresa</w:t>
            </w:r>
          </w:p>
        </w:tc>
        <w:tc>
          <w:tcPr>
            <w:tcW w:type="dxa" w:w="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pPr>
              <w:spacing w:before="10" w:after="10"/>
            </w:pPr>
            <w:r>
              <w:rPr>
                <w:rFonts w:ascii="Arial" w:cs="Arial" w:eastAsia="Arial" w:hAnsi="Arial"/>
                <w:b/>
                <w:bCs/>
                <w:color w:val="FFFFFF"/>
                <w:sz w:val="17"/>
                <w:szCs w:val="17"/>
              </w:rPr>
              <w:t xml:space="preserve">Sector</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AAPL</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Apple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PFE</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Pfizer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MSFT</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Microsoft Corporation</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JNJ</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Johnson &amp; Johnson</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AMZN</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Amazon.com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CVX</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Chevron Corporation</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Energ.</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GOOGL</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Alphabet Inc. (Class A)</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XOM</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Exxon Mobil Corp.</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Energ.</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META</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Meta Platforms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TMO</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Thermo Fisher Scientific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NVDA</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NVIDIA Corporation</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ABT</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Abbott Laboratories</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TSLA</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Tesla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CRM</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Salesforce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AVGO</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Broadcom Inc.</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ADBE</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Adobe Inc.</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WMT</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Walmart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ACN</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Accenture plc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JPM</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JPMorgan Chase &amp; Co.</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Fin.</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COST</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Costco Wholesale</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V</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Visa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Fin.</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NKE</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Nike Inc.</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MA</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Mastercard Inc.</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Fin.</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DIS</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Walt Disney Company</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UNH</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UnitedHealth Group</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VZ</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Verizon Communications</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Telecom</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HD</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Home Depot Inc.</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WFC</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Wells Fargo &amp; Co.</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Fin.</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PG</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Procter &amp; Gamble</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TXN</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Texas Instruments</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BAC</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Bank of America</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Fin.</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DHR</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Danaher Corporation</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KO</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Coca-Cola Company</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PM</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Philip Morris International</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PEP</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PepsiCo Inc.</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Cons.</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NEE</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NextEra Energy</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Util.</w:t>
            </w:r>
          </w:p>
        </w:tc>
      </w:tr>
      <w:tr>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MRK</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Merck &amp; Co.</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AMD</w:t>
            </w:r>
          </w:p>
        </w:tc>
        <w:tc>
          <w:tcPr>
            <w:tcW w:type="dxa" w:w="3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Advanced Micro Devices</w:t>
            </w:r>
          </w:p>
        </w:tc>
        <w:tc>
          <w:tcPr>
            <w:tcW w:type="dxa" w:w="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Tech</w:t>
            </w:r>
          </w:p>
        </w:tc>
      </w:tr>
      <w:tr>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ABBV</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AbbVie Inc.</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Salud</w:t>
            </w:r>
          </w:p>
        </w:tc>
        <w:tc>
          <w:tcPr>
            <w:tcW w:type="dxa" w:w="200"/>
            <w:tcBorders>
              <w:top w:val="none" w:color="FFFFFF" w:sz="0"/>
              <w:left w:val="none" w:color="FFFFFF" w:sz="0"/>
              <w:bottom w:val="none" w:color="FFFFFF" w:sz="0"/>
              <w:right w:val="none" w:color="FFFFFF" w:sz="0"/>
            </w:tcBorders>
          </w:tcPr>
          <w:p>
            <w:r>
              <w:t xml:space="preserve"/>
            </w:r>
          </w:p>
        </w:tc>
        <w:tc>
          <w:tcPr>
            <w:tcW w:type="dxa" w:w="12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Consolas" w:cs="Consolas" w:eastAsia="Consolas" w:hAnsi="Consolas"/>
                <w:b/>
                <w:bCs/>
                <w:color w:val="1A6B8A"/>
                <w:sz w:val="17"/>
                <w:szCs w:val="17"/>
              </w:rPr>
              <w:t xml:space="preserve">BRK-B</w:t>
            </w:r>
          </w:p>
        </w:tc>
        <w:tc>
          <w:tcPr>
            <w:tcW w:type="dxa" w:w="33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pPr>
            <w:r>
              <w:rPr>
                <w:rFonts w:ascii="Arial" w:cs="Arial" w:eastAsia="Arial" w:hAnsi="Arial"/>
                <w:color w:val="1E1E1E"/>
                <w:sz w:val="17"/>
                <w:szCs w:val="17"/>
              </w:rPr>
              <w:t xml:space="preserve">Berkshire Hathaway (B)</w:t>
            </w:r>
          </w:p>
        </w:tc>
        <w:tc>
          <w:tcPr>
            <w:tcW w:type="dxa" w:w="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5" w:after="5"/>
              <w:jc w:val="center"/>
            </w:pPr>
            <w:r>
              <w:rPr>
                <w:rFonts w:ascii="Arial" w:cs="Arial" w:eastAsia="Arial" w:hAnsi="Arial"/>
                <w:color w:val="4A5568"/>
                <w:sz w:val="15"/>
                <w:szCs w:val="15"/>
              </w:rPr>
              <w:t xml:space="preserve">Fin.</w:t>
            </w:r>
          </w:p>
        </w:tc>
      </w:tr>
    </w:tbl>
    <w:p>
      <w:pPr>
        <w:pStyle w:val="Heading2"/>
        <w:spacing w:before="240" w:after="120"/>
      </w:pPr>
      <w:r>
        <w:rPr>
          <w:rFonts w:ascii="Arial" w:cs="Arial" w:eastAsia="Arial" w:hAnsi="Arial"/>
          <w:b/>
          <w:bCs/>
          <w:color w:val="1B2A4A"/>
          <w:sz w:val="26"/>
          <w:szCs w:val="26"/>
        </w:rPr>
        <w:t xml:space="preserve">3.2 Criterios de Inclusión en el Universo</w:t>
      </w:r>
    </w:p>
    <w:p>
      <w:pPr>
        <w:spacing w:before="60" w:after="60"/>
        <w:jc w:val="left"/>
      </w:pPr>
      <w:r>
        <w:rPr>
          <w:rFonts w:ascii="Arial" w:cs="Arial" w:eastAsia="Arial" w:hAnsi="Arial"/>
          <w:b w:val="false"/>
          <w:bCs w:val="false"/>
          <w:i w:val="false"/>
          <w:iCs w:val="false"/>
          <w:color w:val="1E1E1E"/>
          <w:sz w:val="21"/>
          <w:szCs w:val="21"/>
        </w:rPr>
        <w:t xml:space="preserve">Un símbolo debe cumplir TODOS los siguientes criterios:</w:t>
      </w:r>
    </w:p>
    <w:p>
      <w:pPr>
        <w:pStyle w:val="ListParagraph"/>
        <w:numPr>
          <w:ilvl w:val="0"/>
          <w:numId w:val="2"/>
        </w:numPr>
        <w:spacing w:before="40" w:after="40"/>
      </w:pPr>
      <w:r>
        <w:rPr>
          <w:rFonts w:ascii="Arial" w:cs="Arial" w:eastAsia="Arial" w:hAnsi="Arial"/>
          <w:b/>
          <w:bCs/>
          <w:color w:val="1E1E1E"/>
          <w:sz w:val="21"/>
          <w:szCs w:val="21"/>
        </w:rPr>
        <w:t xml:space="preserve">Capitalización: </w:t>
      </w:r>
      <w:r>
        <w:rPr>
          <w:rFonts w:ascii="Arial" w:cs="Arial" w:eastAsia="Arial" w:hAnsi="Arial"/>
          <w:color w:val="1E1E1E"/>
          <w:sz w:val="21"/>
          <w:szCs w:val="21"/>
        </w:rPr>
        <w:t xml:space="preserve">&gt; $50B (Large Cap)</w:t>
      </w:r>
    </w:p>
    <w:p>
      <w:pPr>
        <w:pStyle w:val="ListParagraph"/>
        <w:numPr>
          <w:ilvl w:val="0"/>
          <w:numId w:val="2"/>
        </w:numPr>
        <w:spacing w:before="40" w:after="40"/>
      </w:pPr>
      <w:r>
        <w:rPr>
          <w:rFonts w:ascii="Arial" w:cs="Arial" w:eastAsia="Arial" w:hAnsi="Arial"/>
          <w:b/>
          <w:bCs/>
          <w:color w:val="1E1E1E"/>
          <w:sz w:val="21"/>
          <w:szCs w:val="21"/>
        </w:rPr>
        <w:t xml:space="preserve">Liquidez: </w:t>
      </w:r>
      <w:r>
        <w:rPr>
          <w:rFonts w:ascii="Arial" w:cs="Arial" w:eastAsia="Arial" w:hAnsi="Arial"/>
          <w:color w:val="1E1E1E"/>
          <w:sz w:val="21"/>
          <w:szCs w:val="21"/>
        </w:rPr>
        <w:t xml:space="preserve">Volumen diario promedio &gt; $100M</w:t>
      </w:r>
    </w:p>
    <w:p>
      <w:pPr>
        <w:pStyle w:val="ListParagraph"/>
        <w:numPr>
          <w:ilvl w:val="0"/>
          <w:numId w:val="2"/>
        </w:numPr>
        <w:spacing w:before="40" w:after="40"/>
      </w:pPr>
      <w:r>
        <w:rPr>
          <w:rFonts w:ascii="Arial" w:cs="Arial" w:eastAsia="Arial" w:hAnsi="Arial"/>
          <w:b/>
          <w:bCs/>
          <w:color w:val="1E1E1E"/>
          <w:sz w:val="21"/>
          <w:szCs w:val="21"/>
        </w:rPr>
        <w:t xml:space="preserve">Antigüedad: </w:t>
      </w:r>
      <w:r>
        <w:rPr>
          <w:rFonts w:ascii="Arial" w:cs="Arial" w:eastAsia="Arial" w:hAnsi="Arial"/>
          <w:color w:val="1E1E1E"/>
          <w:sz w:val="21"/>
          <w:szCs w:val="21"/>
        </w:rPr>
        <w:t xml:space="preserve">Cotización pública &gt; 10 años</w:t>
      </w:r>
    </w:p>
    <w:p>
      <w:pPr>
        <w:pStyle w:val="ListParagraph"/>
        <w:numPr>
          <w:ilvl w:val="0"/>
          <w:numId w:val="2"/>
        </w:numPr>
        <w:spacing w:before="40" w:after="40"/>
      </w:pPr>
      <w:r>
        <w:rPr>
          <w:rFonts w:ascii="Arial" w:cs="Arial" w:eastAsia="Arial" w:hAnsi="Arial"/>
          <w:b/>
          <w:bCs/>
          <w:color w:val="1E1E1E"/>
          <w:sz w:val="21"/>
          <w:szCs w:val="21"/>
        </w:rPr>
        <w:t xml:space="preserve">Sector: </w:t>
      </w:r>
      <w:r>
        <w:rPr>
          <w:rFonts w:ascii="Arial" w:cs="Arial" w:eastAsia="Arial" w:hAnsi="Arial"/>
          <w:color w:val="1E1E1E"/>
          <w:sz w:val="21"/>
          <w:szCs w:val="21"/>
        </w:rPr>
        <w:t xml:space="preserve">Diversificación mínima de 8 sectores diferentes</w:t>
      </w:r>
    </w:p>
    <w:p>
      <w:pPr>
        <w:pStyle w:val="ListParagraph"/>
        <w:numPr>
          <w:ilvl w:val="0"/>
          <w:numId w:val="2"/>
        </w:numPr>
        <w:spacing w:before="40" w:after="40"/>
      </w:pPr>
      <w:r>
        <w:rPr>
          <w:rFonts w:ascii="Arial" w:cs="Arial" w:eastAsia="Arial" w:hAnsi="Arial"/>
          <w:b/>
          <w:bCs/>
          <w:color w:val="1E1E1E"/>
          <w:sz w:val="21"/>
          <w:szCs w:val="21"/>
        </w:rPr>
        <w:t xml:space="preserve">Estado: </w:t>
      </w:r>
      <w:r>
        <w:rPr>
          <w:rFonts w:ascii="Arial" w:cs="Arial" w:eastAsia="Arial" w:hAnsi="Arial"/>
          <w:color w:val="1E1E1E"/>
          <w:sz w:val="21"/>
          <w:szCs w:val="21"/>
        </w:rPr>
        <w:t xml:space="preserve">No en bancarrota, no en proceso de fusión/adquisición</w:t>
      </w:r>
    </w:p>
    <w:p>
      <w:pPr>
        <w:pStyle w:val="ListParagraph"/>
      </w:pPr>
      <w:r>
        <w:t>Clasificación sectorial: GICS (11 sectores).</w:t>
      </w:r>
    </w:p>
    <w:p>
      <w:pPr>
        <w:pStyle w:val="ListParagraph"/>
      </w:pPr>
      <w:r>
        <w:t>Eventos corporativos: cambios de ticker, fusiones/spin-offs o reclasificación sectorial se tratan como evento de datos y deben quedar documentados; el universo se ajusta en la revisión trimestral salvo emergencia (Sección 8.5).</w:t>
      </w:r>
    </w:p>
    <w:p>
      <w:pPr>
        <w:pStyle w:val="ListParagraph"/>
      </w:pPr>
      <w:r>
        <w:t>Sesgos: el uso de un universo fijo introduce survivorship bias; para validación formal se requiere universo point-in-time o una declaración explícita del sesgo y su impacto (ver Anexo F).</w:t>
      </w:r>
    </w:p>
    <w:p>
      <w:pPr>
        <w:pStyle w:val="Heading2"/>
        <w:spacing w:before="240" w:after="120"/>
      </w:pPr>
      <w:r>
        <w:rPr>
          <w:rFonts w:ascii="Arial" w:cs="Arial" w:eastAsia="Arial" w:hAnsi="Arial"/>
          <w:b/>
          <w:bCs/>
          <w:color w:val="1B2A4A"/>
          <w:sz w:val="26"/>
          <w:szCs w:val="26"/>
        </w:rPr>
        <w:t xml:space="preserve">3.3 Procedimiento de Revisión del Universo</w:t>
      </w:r>
    </w:p>
    <w:p>
      <w:pPr>
        <w:spacing w:before="80" w:after="60"/>
      </w:pPr>
      <w:r>
        <w:rPr>
          <w:rFonts w:ascii="Arial" w:cs="Arial" w:eastAsia="Arial" w:hAnsi="Arial"/>
          <w:b/>
          <w:bCs/>
          <w:color w:val="1E1E1E"/>
          <w:sz w:val="21"/>
          <w:szCs w:val="21"/>
        </w:rPr>
        <w:t xml:space="preserve">Frecuencia: </w:t>
      </w:r>
      <w:r>
        <w:rPr>
          <w:rFonts w:ascii="Arial" w:cs="Arial" w:eastAsia="Arial" w:hAnsi="Arial"/>
          <w:color w:val="1E1E1E"/>
          <w:sz w:val="21"/>
          <w:szCs w:val="21"/>
        </w:rPr>
        <w:t xml:space="preserve">Trimestral (marzo, junio, septiembre, diciembre)</w:t>
      </w:r>
    </w:p>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Proceso:</w:t>
      </w:r>
    </w:p>
    <w:p>
      <w:pPr>
        <w:pStyle w:val="ListParagraph"/>
        <w:numPr>
          <w:ilvl w:val="0"/>
          <w:numId w:val="3"/>
        </w:numPr>
        <w:spacing w:before="40" w:after="40"/>
      </w:pPr>
      <w:r>
        <w:rPr>
          <w:rFonts w:ascii="Arial" w:cs="Arial" w:eastAsia="Arial" w:hAnsi="Arial"/>
          <w:color w:val="1E1E1E"/>
          <w:sz w:val="21"/>
          <w:szCs w:val="21"/>
        </w:rPr>
        <w:t xml:space="preserve">Evaluar cada símbolo contra los criterios de inclusión</w:t>
      </w:r>
    </w:p>
    <w:p>
      <w:pPr>
        <w:pStyle w:val="ListParagraph"/>
        <w:numPr>
          <w:ilvl w:val="0"/>
          <w:numId w:val="3"/>
        </w:numPr>
        <w:spacing w:before="40" w:after="40"/>
      </w:pPr>
      <w:r>
        <w:rPr>
          <w:rFonts w:ascii="Arial" w:cs="Arial" w:eastAsia="Arial" w:hAnsi="Arial"/>
          <w:color w:val="1E1E1E"/>
          <w:sz w:val="21"/>
          <w:szCs w:val="21"/>
        </w:rPr>
        <w:t xml:space="preserve">Si un símbolo falla 2+ criterios durante 3 meses consecutivos, se marca para revisión</w:t>
      </w:r>
    </w:p>
    <w:p>
      <w:pPr>
        <w:pStyle w:val="ListParagraph"/>
        <w:numPr>
          <w:ilvl w:val="0"/>
          <w:numId w:val="3"/>
        </w:numPr>
        <w:spacing w:before="40" w:after="40"/>
      </w:pPr>
      <w:r>
        <w:rPr>
          <w:rFonts w:ascii="Arial" w:cs="Arial" w:eastAsia="Arial" w:hAnsi="Arial"/>
          <w:color w:val="1E1E1E"/>
          <w:sz w:val="21"/>
          <w:szCs w:val="21"/>
        </w:rPr>
        <w:t xml:space="preserve">El reemplazo debe cumplir TODOS los criterios y mantener la diversidad sectorial</w:t>
      </w:r>
    </w:p>
    <w:p>
      <w:pPr>
        <w:pStyle w:val="ListParagraph"/>
        <w:numPr>
          <w:ilvl w:val="0"/>
          <w:numId w:val="3"/>
        </w:numPr>
        <w:spacing w:before="40" w:after="40"/>
      </w:pPr>
      <w:r>
        <w:rPr>
          <w:rFonts w:ascii="Arial" w:cs="Arial" w:eastAsia="Arial" w:hAnsi="Arial"/>
          <w:color w:val="1E1E1E"/>
          <w:sz w:val="21"/>
          <w:szCs w:val="21"/>
        </w:rPr>
        <w:t xml:space="preserve">Los cambios se implementan en el primer día de trading del mes siguiente</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4</w:t>
      </w:r>
      <w:r>
        <w:rPr>
          <w:rFonts w:ascii="Arial" w:cs="Arial" w:eastAsia="Arial" w:hAnsi="Arial"/>
          <w:b/>
          <w:bCs/>
          <w:color w:val="1B2A4A"/>
          <w:sz w:val="32"/>
          <w:szCs w:val="32"/>
        </w:rPr>
        <w:t xml:space="preserve">  METODOLOGÍA DE SELECCIÓN DE ACTIVOS</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4.1 Frecuencia de Selección</w:t>
      </w:r>
    </w:p>
    <w:p>
      <w:pPr>
        <w:spacing w:before="60" w:after="60"/>
        <w:jc w:val="left"/>
      </w:pPr>
      <w:r>
        <w:rPr>
          <w:rFonts w:ascii="Arial" w:cs="Arial" w:eastAsia="Arial" w:hAnsi="Arial"/>
          <w:b w:val="false"/>
          <w:bCs w:val="false"/>
          <w:i w:val="false"/>
          <w:iCs w:val="false"/>
          <w:color w:val="1E1E1E"/>
          <w:sz w:val="21"/>
          <w:szCs w:val="21"/>
        </w:rPr>
        <w:t xml:space="preserve">La selección de activos se realiza mensualmente, exactamente cada 21 días hábiles.</w:t>
      </w:r>
    </w:p>
    <w:p>
      <w:pPr>
        <w:pStyle w:val="Heading2"/>
        <w:spacing w:before="240" w:after="120"/>
      </w:pPr>
      <w:r>
        <w:rPr>
          <w:rFonts w:ascii="Arial" w:cs="Arial" w:eastAsia="Arial" w:hAnsi="Arial"/>
          <w:b/>
          <w:bCs/>
          <w:color w:val="1B2A4A"/>
          <w:sz w:val="26"/>
          <w:szCs w:val="26"/>
        </w:rPr>
        <w:t xml:space="preserve">4.2 Número de Posiciones</w:t>
      </w:r>
    </w:p>
    <w:p>
      <w:pPr>
        <w:spacing w:before="60" w:after="60"/>
        <w:jc w:val="left"/>
      </w:pPr>
      <w:r>
        <w:rPr>
          <w:rFonts w:ascii="Arial" w:cs="Arial" w:eastAsia="Arial" w:hAnsi="Arial"/>
          <w:b w:val="false"/>
          <w:bCs w:val="false"/>
          <w:i w:val="false"/>
          <w:iCs w:val="false"/>
          <w:color w:val="1E1E1E"/>
          <w:sz w:val="21"/>
          <w:szCs w:val="21"/>
        </w:rPr>
        <w:t xml:space="preserve">El sistema mantiene exactamente 10 posiciones simultáneas en todo momento (salvo períodos de transición).</w:t>
      </w:r>
    </w:p>
    <w:p>
      <w:pPr>
        <w:pStyle w:val="Heading2"/>
        <w:spacing w:before="240" w:after="120"/>
      </w:pPr>
      <w:r>
        <w:rPr>
          <w:rFonts w:ascii="Arial" w:cs="Arial" w:eastAsia="Arial" w:hAnsi="Arial"/>
          <w:b/>
          <w:bCs/>
          <w:color w:val="1B2A4A"/>
          <w:sz w:val="26"/>
          <w:szCs w:val="26"/>
        </w:rPr>
        <w:t xml:space="preserve">4.3 Proceso de Selección Paso a Paso</w:t>
      </w:r>
    </w:p>
    <w:p>
      <w:pPr>
        <w:pStyle w:val="Heading3"/>
        <w:spacing w:before="200" w:after="100"/>
      </w:pPr>
      <w:r>
        <w:rPr>
          <w:rFonts w:ascii="Arial" w:cs="Arial" w:eastAsia="Arial" w:hAnsi="Arial"/>
          <w:b/>
          <w:bCs/>
          <w:color w:val="1A6B8A"/>
          <w:sz w:val="22"/>
          <w:szCs w:val="22"/>
        </w:rPr>
        <w:t xml:space="preserve">Paso 1: Filtrado del Universo (Día de Rebalanceo)</w:t>
      </w:r>
    </w:p>
    <w:p>
      <w:pPr>
        <w:spacing w:before="60" w:after="60"/>
        <w:jc w:val="left"/>
      </w:pPr>
      <w:r>
        <w:rPr>
          <w:rFonts w:ascii="Arial" w:cs="Arial" w:eastAsia="Arial" w:hAnsi="Arial"/>
          <w:b w:val="false"/>
          <w:bCs w:val="false"/>
          <w:i w:val="false"/>
          <w:iCs w:val="false"/>
          <w:color w:val="1E1E1E"/>
          <w:sz w:val="21"/>
          <w:szCs w:val="21"/>
        </w:rPr>
        <w:t xml:space="preserve">Para cada símbolo en el universo:</w:t>
      </w:r>
    </w:p>
    <w:p>
      <w:pPr/>
      <w:r>
        <w:t>Validaciones mínimas (si falla una, el símbolo queda inválido para este ciclo):</w:t>
      </w:r>
    </w:p>
    <w:p>
      <w:pPr/>
      <w:r>
        <w:t>1) Datos fundamentales numéricos disponibles: P/E, P/B, P/S, ROE, Profit Margin.</w:t>
      </w:r>
    </w:p>
    <w:p>
      <w:pPr/>
      <w:r>
        <w:t>2) Consistencia/sanidad: P/E &gt; 0, P/B &gt; 0, P/S &gt; 0; ROE y Profit Margin en rango [-100%, 100%].</w:t>
      </w:r>
    </w:p>
    <w:p>
      <w:pPr/>
      <w:r>
        <w:t>3) Serie de precios completa para calcular momentum y volatilidad (mínimo 252 días de trading para momentum anual).</w:t>
      </w:r>
    </w:p>
    <w:p>
      <w:pPr/>
      <w:r>
        <w:t>Política de datos faltantes: no se imputan valores; si falta un dato requerido, el símbolo se excluye del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SI (precio &gt; 0) Y (volumen_20d &gt; 1,000,000) Y (datos_fundamentales_disponibles):</w:t>
            </w:r>
          </w:p>
          <w:p>
            <w:pPr>
              <w:spacing w:before="0" w:after="0"/>
            </w:pPr>
            <w:r>
              <w:rPr>
                <w:rFonts w:ascii="Consolas" w:cs="Consolas" w:eastAsia="Consolas" w:hAnsi="Consolas"/>
                <w:color w:val="1E1E1E"/>
                <w:sz w:val="17"/>
                <w:szCs w:val="17"/>
              </w:rPr>
              <w:t xml:space="preserve">    INCLUIR en evaluación</w:t>
            </w:r>
          </w:p>
          <w:p>
            <w:pPr>
              <w:spacing w:before="0" w:after="0"/>
            </w:pPr>
            <w:r>
              <w:rPr>
                <w:rFonts w:ascii="Consolas" w:cs="Consolas" w:eastAsia="Consolas" w:hAnsi="Consolas"/>
                <w:color w:val="1E1E1E"/>
                <w:sz w:val="17"/>
                <w:szCs w:val="17"/>
              </w:rPr>
              <w:t xml:space="preserve">SINO:</w:t>
            </w:r>
          </w:p>
          <w:p>
            <w:pPr>
              <w:spacing w:before="0" w:after="0"/>
            </w:pPr>
            <w:r>
              <w:rPr>
                <w:rFonts w:ascii="Consolas" w:cs="Consolas" w:eastAsia="Consolas" w:hAnsi="Consolas"/>
                <w:color w:val="1E1E1E"/>
                <w:sz w:val="17"/>
                <w:szCs w:val="17"/>
              </w:rPr>
              <w:t xml:space="preserve">    EXCLUIR de evaluación</w:t>
            </w:r>
          </w:p>
        </w:tc>
      </w:tr>
    </w:tbl>
    <w:p>
      <w:pPr>
        <w:pStyle w:val="Heading3"/>
        <w:spacing w:before="200" w:after="100"/>
      </w:pPr>
      <w:r>
        <w:rPr>
          <w:rFonts w:ascii="Arial" w:cs="Arial" w:eastAsia="Arial" w:hAnsi="Arial"/>
          <w:b/>
          <w:bCs/>
          <w:color w:val="1A6B8A"/>
          <w:sz w:val="22"/>
          <w:szCs w:val="22"/>
        </w:rPr>
        <w:t xml:space="preserve">Paso 2: Cálculo de Scores</w:t>
      </w:r>
    </w:p>
    <w:p>
      <w:pPr>
        <w:spacing w:before="60" w:after="60"/>
        <w:jc w:val="left"/>
      </w:pPr>
      <w:r>
        <w:rPr>
          <w:rFonts w:ascii="Arial" w:cs="Arial" w:eastAsia="Arial" w:hAnsi="Arial"/>
          <w:b w:val="false"/>
          <w:bCs w:val="false"/>
          <w:i w:val="false"/>
          <w:iCs w:val="false"/>
          <w:color w:val="1E1E1E"/>
          <w:sz w:val="21"/>
          <w:szCs w:val="21"/>
        </w:rPr>
        <w:t xml:space="preserve">Calcular para cada símbolo válido:</w:t>
      </w:r>
    </w:p>
    <w:p>
      <w:pPr>
        <w:pStyle w:val="ListParagraph"/>
        <w:numPr>
          <w:ilvl w:val="0"/>
          <w:numId w:val="2"/>
        </w:numPr>
        <w:spacing w:before="40" w:after="40"/>
      </w:pPr>
      <w:r>
        <w:rPr>
          <w:rFonts w:ascii="Arial" w:cs="Arial" w:eastAsia="Arial" w:hAnsi="Arial"/>
          <w:color w:val="1E1E1E"/>
          <w:sz w:val="21"/>
          <w:szCs w:val="21"/>
        </w:rPr>
        <w:t xml:space="preserve">Value Score (VS)</w:t>
      </w:r>
    </w:p>
    <w:p>
      <w:pPr>
        <w:pStyle w:val="ListParagraph"/>
        <w:numPr>
          <w:ilvl w:val="0"/>
          <w:numId w:val="2"/>
        </w:numPr>
        <w:spacing w:before="40" w:after="40"/>
      </w:pPr>
      <w:r>
        <w:rPr>
          <w:rFonts w:ascii="Arial" w:cs="Arial" w:eastAsia="Arial" w:hAnsi="Arial"/>
          <w:color w:val="1E1E1E"/>
          <w:sz w:val="21"/>
          <w:szCs w:val="21"/>
        </w:rPr>
        <w:t xml:space="preserve">Quality Score (QS)</w:t>
      </w:r>
    </w:p>
    <w:p>
      <w:pPr>
        <w:pStyle w:val="ListParagraph"/>
        <w:numPr>
          <w:ilvl w:val="0"/>
          <w:numId w:val="2"/>
        </w:numPr>
        <w:spacing w:before="40" w:after="40"/>
      </w:pPr>
      <w:r>
        <w:rPr>
          <w:rFonts w:ascii="Arial" w:cs="Arial" w:eastAsia="Arial" w:hAnsi="Arial"/>
          <w:color w:val="1E1E1E"/>
          <w:sz w:val="21"/>
          <w:szCs w:val="21"/>
        </w:rPr>
        <w:t xml:space="preserve">Momentum Score (MS)</w:t>
      </w:r>
    </w:p>
    <w:p>
      <w:pPr>
        <w:pStyle w:val="ListParagraph"/>
        <w:numPr>
          <w:ilvl w:val="0"/>
          <w:numId w:val="2"/>
        </w:numPr>
        <w:spacing w:before="40" w:after="40"/>
      </w:pPr>
      <w:r>
        <w:rPr>
          <w:rFonts w:ascii="Arial" w:cs="Arial" w:eastAsia="Arial" w:hAnsi="Arial"/>
          <w:color w:val="1E1E1E"/>
          <w:sz w:val="21"/>
          <w:szCs w:val="21"/>
        </w:rPr>
        <w:t xml:space="preserve">Composite Score (CS)</w:t>
      </w:r>
    </w:p>
    <w:p>
      <w:pPr>
        <w:pStyle w:val="Heading3"/>
        <w:spacing w:before="200" w:after="100"/>
      </w:pPr>
      <w:r>
        <w:rPr>
          <w:rFonts w:ascii="Arial" w:cs="Arial" w:eastAsia="Arial" w:hAnsi="Arial"/>
          <w:b/>
          <w:bCs/>
          <w:color w:val="1A6B8A"/>
          <w:sz w:val="22"/>
          <w:szCs w:val="22"/>
        </w:rPr>
        <w:t xml:space="preserve">Paso 3: Ranking y Selección</w:t>
      </w:r>
    </w:p>
    <w:p>
      <w:pPr>
        <w:pStyle w:val="ListParagraph"/>
        <w:numPr>
          <w:ilvl w:val="0"/>
          <w:numId w:val="3"/>
        </w:numPr>
        <w:spacing w:before="40" w:after="40"/>
      </w:pPr>
      <w:r>
        <w:rPr>
          <w:rFonts w:ascii="Arial" w:cs="Arial" w:eastAsia="Arial" w:hAnsi="Arial"/>
          <w:color w:val="1E1E1E"/>
          <w:sz w:val="21"/>
          <w:szCs w:val="21"/>
        </w:rPr>
        <w:t xml:space="preserve">Ordenar todos los símbolos por Composite Score descendente</w:t>
      </w:r>
    </w:p>
    <w:p>
      <w:pPr>
        <w:pStyle w:val="ListParagraph"/>
        <w:numPr>
          <w:ilvl w:val="0"/>
          <w:numId w:val="3"/>
        </w:numPr>
        <w:spacing w:before="40" w:after="40"/>
      </w:pPr>
      <w:r>
        <w:rPr>
          <w:rFonts w:ascii="Arial" w:cs="Arial" w:eastAsia="Arial" w:hAnsi="Arial"/>
          <w:color w:val="1E1E1E"/>
          <w:sz w:val="21"/>
          <w:szCs w:val="21"/>
        </w:rPr>
        <w:t xml:space="preserve">Seleccionar los PRIMEROS 10 símbolos de la lista ordenada</w:t>
      </w:r>
    </w:p>
    <w:p>
      <w:pPr>
        <w:pStyle w:val="ListParagraph"/>
        <w:numPr>
          <w:ilvl w:val="0"/>
          <w:numId w:val="3"/>
        </w:numPr>
        <w:spacing w:before="40" w:after="40"/>
      </w:pPr>
      <w:r>
        <w:rPr>
          <w:rFonts w:ascii="Arial" w:cs="Arial" w:eastAsia="Arial" w:hAnsi="Arial"/>
          <w:color w:val="1E1E1E"/>
          <w:sz w:val="21"/>
          <w:szCs w:val="21"/>
        </w:rPr>
        <w:t xml:space="preserve">Si hay menos de 10 símbolos válidos, operar con los disponibles</w:t>
      </w:r>
    </w:p>
    <w:p>
      <w:pPr>
        <w:pStyle w:val="ListParagraph"/>
        <w:numPr>
          <w:ilvl w:val="0"/>
          <w:numId w:val="3"/>
        </w:numPr>
        <w:spacing w:before="40" w:after="40"/>
      </w:pPr>
      <w:r>
        <w:rPr>
          <w:rFonts w:ascii="Arial" w:cs="Arial" w:eastAsia="Arial" w:hAnsi="Arial"/>
          <w:color w:val="1E1E1E"/>
          <w:sz w:val="21"/>
          <w:szCs w:val="21"/>
        </w:rPr>
        <w:t xml:space="preserve">Si hay empate en el puesto 10, seleccionar por mayor Market Cap</w:t>
      </w:r>
    </w:p>
    <w:p>
      <w:pPr>
        <w:pStyle w:val="Heading3"/>
        <w:spacing w:before="200" w:after="100"/>
      </w:pPr>
      <w:r>
        <w:rPr>
          <w:rFonts w:ascii="Arial" w:cs="Arial" w:eastAsia="Arial" w:hAnsi="Arial"/>
          <w:b/>
          <w:bCs/>
          <w:color w:val="1A6B8A"/>
          <w:sz w:val="22"/>
          <w:szCs w:val="22"/>
        </w:rPr>
        <w:t xml:space="preserve">Paso 4: Asignación de Pesos</w:t>
      </w:r>
    </w:p>
    <w:p>
      <w:pPr>
        <w:spacing w:before="60" w:after="60"/>
        <w:jc w:val="left"/>
      </w:pPr>
      <w:r>
        <w:rPr>
          <w:rFonts w:ascii="Arial" w:cs="Arial" w:eastAsia="Arial" w:hAnsi="Arial"/>
          <w:b w:val="false"/>
          <w:bCs w:val="false"/>
          <w:i w:val="false"/>
          <w:iCs w:val="false"/>
          <w:color w:val="1E1E1E"/>
          <w:sz w:val="21"/>
          <w:szCs w:val="21"/>
        </w:rPr>
        <w:t xml:space="preserve">Para los 10 símbolos seleccionados, calcular pesos por Risk Parity (ver Sección 6.3).</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5</w:t>
      </w:r>
      <w:r>
        <w:rPr>
          <w:rFonts w:ascii="Arial" w:cs="Arial" w:eastAsia="Arial" w:hAnsi="Arial"/>
          <w:b/>
          <w:bCs/>
          <w:color w:val="1B2A4A"/>
          <w:sz w:val="32"/>
          <w:szCs w:val="32"/>
        </w:rPr>
        <w:t xml:space="preserve">  SISTEMA DE PUNTUACIÓN (SCORING)</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5.1 Value Score (Peso: 50%)</w:t>
      </w:r>
    </w:p>
    <w:p>
      <w:pPr>
        <w:pStyle w:val="Heading3"/>
        <w:spacing w:before="200" w:after="100"/>
      </w:pPr>
      <w:r>
        <w:rPr>
          <w:rFonts w:ascii="Arial" w:cs="Arial" w:eastAsia="Arial" w:hAnsi="Arial"/>
          <w:b/>
          <w:bCs/>
          <w:color w:val="1A6B8A"/>
          <w:sz w:val="22"/>
          <w:szCs w:val="22"/>
        </w:rPr>
        <w:t xml:space="preserve">A. P/E Score (50% del Value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pe = trailingPE o forwardPE del activo</w:t>
            </w:r>
          </w:p>
          <w:p>
            <w:pPr>
              <w:spacing w:before="0" w:after="0"/>
            </w:pPr>
            <w:r>
              <w:rPr>
                <w:rFonts w:ascii="Consolas" w:cs="Consolas" w:eastAsia="Consolas" w:hAnsi="Consolas"/>
                <w:color w:val="1E1E1E"/>
                <w:sz w:val="17"/>
                <w:szCs w:val="17"/>
              </w:rPr>
              <w:t xml:space="preserve">pe = max(0.1, min(pe, 100))</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IF pe &lt;= 0:        pe_score = 0</w:t>
            </w:r>
          </w:p>
          <w:p>
            <w:pPr>
              <w:spacing w:before="0" w:after="0"/>
            </w:pPr>
            <w:r>
              <w:rPr>
                <w:rFonts w:ascii="Consolas" w:cs="Consolas" w:eastAsia="Consolas" w:hAnsi="Consolas"/>
                <w:color w:val="1E1E1E"/>
                <w:sz w:val="17"/>
                <w:szCs w:val="17"/>
              </w:rPr>
              <w:t xml:space="preserve">ELIF pe &lt;= 10:     pe_score = 1.0</w:t>
            </w:r>
          </w:p>
          <w:p>
            <w:pPr>
              <w:spacing w:before="0" w:after="0"/>
            </w:pPr>
            <w:r>
              <w:rPr>
                <w:rFonts w:ascii="Consolas" w:cs="Consolas" w:eastAsia="Consolas" w:hAnsi="Consolas"/>
                <w:color w:val="1E1E1E"/>
                <w:sz w:val="17"/>
                <w:szCs w:val="17"/>
              </w:rPr>
              <w:t xml:space="preserve">ELIF pe &gt;= 30:     pe_score = 0</w:t>
            </w:r>
          </w:p>
          <w:p>
            <w:pPr>
              <w:spacing w:before="0" w:after="0"/>
            </w:pPr>
            <w:r>
              <w:t>ELSE:              pe_score = (30 - pe) / 20</w:t>
            </w:r>
          </w:p>
        </w:tc>
      </w:tr>
    </w:tbl>
    <w:p>
      <w:pPr>
        <w:pStyle w:val="Heading3"/>
        <w:spacing w:before="200" w:after="100"/>
      </w:pPr>
      <w:r>
        <w:rPr>
          <w:rFonts w:ascii="Arial" w:cs="Arial" w:eastAsia="Arial" w:hAnsi="Arial"/>
          <w:b/>
          <w:bCs/>
          <w:color w:val="1A6B8A"/>
          <w:sz w:val="22"/>
          <w:szCs w:val="22"/>
        </w:rPr>
        <w:t xml:space="preserve">B. P/B Score (30% del Value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pb = priceToBook del activo</w:t>
            </w:r>
          </w:p>
          <w:p>
            <w:pPr>
              <w:spacing w:before="0" w:after="0"/>
            </w:pPr>
            <w:r>
              <w:rPr>
                <w:rFonts w:ascii="Consolas" w:cs="Consolas" w:eastAsia="Consolas" w:hAnsi="Consolas"/>
                <w:color w:val="1E1E1E"/>
                <w:sz w:val="17"/>
                <w:szCs w:val="17"/>
              </w:rPr>
              <w:t xml:space="preserve">pb = max(0.1, min(pb, 20))</w:t>
            </w:r>
          </w:p>
          <w:p>
            <w:pPr>
              <w:spacing w:before="0" w:after="0"/>
            </w:pPr>
            <w:r>
              <w:rPr>
                <w:rFonts w:ascii="Consolas" w:cs="Consolas" w:eastAsia="Consolas" w:hAnsi="Consolas"/>
                <w:color w:val="1E1E1E"/>
                <w:sz w:val="17"/>
                <w:szCs w:val="17"/>
              </w:rPr>
              <w:t xml:space="preserve"/>
            </w:r>
          </w:p>
          <w:p>
            <w:pPr>
              <w:spacing w:before="0" w:after="0"/>
            </w:pPr>
            <w:r>
              <w:t>IF pb &lt;= 1.5:        pb_score = 1.0</w:t>
            </w:r>
          </w:p>
          <w:p>
            <w:pPr>
              <w:spacing w:before="0" w:after="0"/>
            </w:pPr>
            <w:r>
              <w:rPr>
                <w:rFonts w:ascii="Consolas" w:cs="Consolas" w:eastAsia="Consolas" w:hAnsi="Consolas"/>
                <w:color w:val="1E1E1E"/>
                <w:sz w:val="17"/>
                <w:szCs w:val="17"/>
              </w:rPr>
              <w:t xml:space="preserve">ELIF pb &gt;= 5:      pb_score = 0</w:t>
            </w:r>
          </w:p>
          <w:p>
            <w:pPr>
              <w:spacing w:before="0" w:after="0"/>
            </w:pPr>
            <w:r>
              <w:t>ELSE:              pb_score = (5 - pb) / 3.5</w:t>
            </w:r>
          </w:p>
        </w:tc>
      </w:tr>
    </w:tbl>
    <w:p>
      <w:pPr>
        <w:pStyle w:val="Heading3"/>
        <w:spacing w:before="200" w:after="100"/>
      </w:pPr>
      <w:r>
        <w:rPr>
          <w:rFonts w:ascii="Arial" w:cs="Arial" w:eastAsia="Arial" w:hAnsi="Arial"/>
          <w:b/>
          <w:bCs/>
          <w:color w:val="1A6B8A"/>
          <w:sz w:val="22"/>
          <w:szCs w:val="22"/>
        </w:rPr>
        <w:t xml:space="preserve">C. P/S Score (20% del Value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ps = priceToSalesTrailing12Months del activo</w:t>
            </w:r>
          </w:p>
          <w:p>
            <w:pPr>
              <w:spacing w:before="0" w:after="0"/>
            </w:pPr>
            <w:r>
              <w:rPr>
                <w:rFonts w:ascii="Consolas" w:cs="Consolas" w:eastAsia="Consolas" w:hAnsi="Consolas"/>
                <w:color w:val="1E1E1E"/>
                <w:sz w:val="17"/>
                <w:szCs w:val="17"/>
              </w:rPr>
              <w:t xml:space="preserve">ps = max(0.1, min(ps, 20))</w:t>
            </w:r>
          </w:p>
          <w:p>
            <w:pPr>
              <w:spacing w:before="0" w:after="0"/>
            </w:pPr>
            <w:r>
              <w:rPr>
                <w:rFonts w:ascii="Consolas" w:cs="Consolas" w:eastAsia="Consolas" w:hAnsi="Consolas"/>
                <w:color w:val="1E1E1E"/>
                <w:sz w:val="17"/>
                <w:szCs w:val="17"/>
              </w:rPr>
              <w:t xml:space="preserve"/>
            </w:r>
          </w:p>
          <w:p>
            <w:pPr>
              <w:spacing w:before="0" w:after="0"/>
            </w:pPr>
            <w:r>
              <w:t>IF ps &lt;= 2:        ps_score = 1.0</w:t>
            </w:r>
          </w:p>
          <w:p>
            <w:pPr>
              <w:spacing w:before="0" w:after="0"/>
            </w:pPr>
            <w:r>
              <w:t>ELIF ps &gt;= 10:      ps_score = 0</w:t>
            </w:r>
          </w:p>
          <w:p>
            <w:pPr>
              <w:spacing w:before="0" w:after="0"/>
            </w:pPr>
            <w:r>
              <w:t>ELSE:              ps_score = (10 - ps) / 8</w:t>
            </w:r>
          </w:p>
        </w:tc>
      </w:tr>
    </w:tbl>
    <w:p>
      <w:pPr>
        <w:pStyle w:val="Heading3"/>
        <w:spacing w:before="200" w:after="100"/>
      </w:pPr>
      <w:r>
        <w:rPr>
          <w:rFonts w:ascii="Arial" w:cs="Arial" w:eastAsia="Arial" w:hAnsi="Arial"/>
          <w:b/>
          <w:bCs/>
          <w:color w:val="1A6B8A"/>
          <w:sz w:val="22"/>
          <w:szCs w:val="22"/>
        </w:rPr>
        <w:t xml:space="preserve">Fórmula Final Value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8F1F5"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Value Score = (PE_score × 0.50) + (PB_score × 0.30) + (PS_score × 0.20)     Rango: [0.0, 1.0]</w:t>
            </w:r>
          </w:p>
        </w:tc>
      </w:tr>
    </w:tbl>
    <w:p>
      <w:pPr>
        <w:pStyle w:val="Heading2"/>
        <w:spacing w:before="240" w:after="120"/>
      </w:pPr>
      <w:r>
        <w:rPr>
          <w:rFonts w:ascii="Arial" w:cs="Arial" w:eastAsia="Arial" w:hAnsi="Arial"/>
          <w:b/>
          <w:bCs/>
          <w:color w:val="1B2A4A"/>
          <w:sz w:val="26"/>
          <w:szCs w:val="26"/>
        </w:rPr>
        <w:t xml:space="preserve">5.2 Quality Score (Peso: 25%)</w:t>
      </w:r>
    </w:p>
    <w:p>
      <w:pPr>
        <w:pStyle w:val="Heading3"/>
        <w:spacing w:before="200" w:after="100"/>
      </w:pPr>
      <w:r>
        <w:rPr>
          <w:rFonts w:ascii="Arial" w:cs="Arial" w:eastAsia="Arial" w:hAnsi="Arial"/>
          <w:b/>
          <w:bCs/>
          <w:color w:val="1A6B8A"/>
          <w:sz w:val="22"/>
          <w:szCs w:val="22"/>
        </w:rPr>
        <w:t xml:space="preserve">A. ROE Score (60% del 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roe = returnOnEquity del activo</w:t>
            </w:r>
          </w:p>
          <w:p>
            <w:pPr>
              <w:spacing w:before="0" w:after="0"/>
            </w:pPr>
            <w:r>
              <w:t>IF isinstance(roe, str): RETURN None  # dato inválido (excluir símbolo)</w:t>
            </w:r>
          </w:p>
          <w:p>
            <w:pPr>
              <w:spacing w:before="0" w:after="0"/>
            </w:pPr>
            <w:r>
              <w:rPr>
                <w:rFonts w:ascii="Consolas" w:cs="Consolas" w:eastAsia="Consolas" w:hAnsi="Consolas"/>
                <w:color w:val="1E1E1E"/>
                <w:sz w:val="17"/>
                <w:szCs w:val="17"/>
              </w:rPr>
              <w:t xml:space="preserve">roe = max(-0.5, min(roe, 1.0))</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IF roe &lt;= 0:       roe_score = 0</w:t>
            </w:r>
          </w:p>
          <w:p>
            <w:pPr>
              <w:spacing w:before="0" w:after="0"/>
            </w:pPr>
            <w:r>
              <w:t>ELIF roe &gt;= 0.25:  roe_score = 1.0</w:t>
            </w:r>
          </w:p>
          <w:p>
            <w:pPr>
              <w:spacing w:before="0" w:after="0"/>
            </w:pPr>
            <w:r>
              <w:t>ELSE:              roe_score = roe / 0.25</w:t>
            </w:r>
          </w:p>
        </w:tc>
      </w:tr>
    </w:tbl>
    <w:p>
      <w:pPr>
        <w:pStyle w:val="Heading3"/>
        <w:spacing w:before="200" w:after="100"/>
      </w:pPr>
      <w:r>
        <w:rPr>
          <w:rFonts w:ascii="Arial" w:cs="Arial" w:eastAsia="Arial" w:hAnsi="Arial"/>
          <w:b/>
          <w:bCs/>
          <w:color w:val="1A6B8A"/>
          <w:sz w:val="22"/>
          <w:szCs w:val="22"/>
        </w:rPr>
        <w:t xml:space="preserve">B. Profit Margin Score (40% del 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margin = profitMargins del activo</w:t>
            </w:r>
          </w:p>
          <w:p>
            <w:pPr>
              <w:spacing w:before="0" w:after="0"/>
            </w:pPr>
            <w:r>
              <w:t>IF isinstance(margin, str): RETURN None  # dato inválido (excluir símbolo)</w:t>
            </w:r>
          </w:p>
          <w:p>
            <w:pPr>
              <w:spacing w:before="0" w:after="0"/>
            </w:pPr>
            <w:r>
              <w:rPr>
                <w:rFonts w:ascii="Consolas" w:cs="Consolas" w:eastAsia="Consolas" w:hAnsi="Consolas"/>
                <w:color w:val="1E1E1E"/>
                <w:sz w:val="17"/>
                <w:szCs w:val="17"/>
              </w:rPr>
              <w:t xml:space="preserve">margin = max(-0.5, min(margin, 1.0))</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IF margin &lt;= 0:       margin_score = 0</w:t>
            </w:r>
          </w:p>
          <w:p>
            <w:pPr>
              <w:spacing w:before="0" w:after="0"/>
            </w:pPr>
            <w:r>
              <w:rPr>
                <w:rFonts w:ascii="Consolas" w:cs="Consolas" w:eastAsia="Consolas" w:hAnsi="Consolas"/>
                <w:color w:val="1E1E1E"/>
                <w:sz w:val="17"/>
                <w:szCs w:val="17"/>
              </w:rPr>
              <w:t xml:space="preserve">ELIF margin &gt;= 0.20:  margin_score = 1.0</w:t>
            </w:r>
          </w:p>
          <w:p>
            <w:pPr>
              <w:spacing w:before="0" w:after="0"/>
            </w:pPr>
            <w:r>
              <w:rPr>
                <w:rFonts w:ascii="Consolas" w:cs="Consolas" w:eastAsia="Consolas" w:hAnsi="Consolas"/>
                <w:color w:val="1E1E1E"/>
                <w:sz w:val="17"/>
                <w:szCs w:val="17"/>
              </w:rPr>
              <w:t xml:space="preserve">ELSE:                 margin_score = margin / 0.20</w:t>
            </w:r>
          </w:p>
        </w:tc>
      </w:tr>
    </w:tbl>
    <w:p>
      <w:pPr>
        <w:pStyle w:val="Heading3"/>
        <w:spacing w:before="200" w:after="100"/>
      </w:pPr>
      <w:r>
        <w:rPr>
          <w:rFonts w:ascii="Arial" w:cs="Arial" w:eastAsia="Arial" w:hAnsi="Arial"/>
          <w:b/>
          <w:bCs/>
          <w:color w:val="1A6B8A"/>
          <w:sz w:val="22"/>
          <w:szCs w:val="22"/>
        </w:rPr>
        <w:t xml:space="preserve">Fórmula Final 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8F1F5"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Quality Score = (ROE_score × 0.60) + (Margin_score × 0.40)     Rango: [0.0, 1.0]</w:t>
            </w:r>
          </w:p>
        </w:tc>
      </w:tr>
    </w:tbl>
    <w:p>
      <w:pPr>
        <w:pStyle w:val="Heading2"/>
        <w:spacing w:before="240" w:after="120"/>
      </w:pPr>
      <w:r>
        <w:rPr>
          <w:rFonts w:ascii="Arial" w:cs="Arial" w:eastAsia="Arial" w:hAnsi="Arial"/>
          <w:b/>
          <w:bCs/>
          <w:color w:val="1B2A4A"/>
          <w:sz w:val="26"/>
          <w:szCs w:val="26"/>
        </w:rPr>
        <w:t xml:space="preserve">5.3 Momentum Score (Peso: 25%)</w:t>
      </w:r>
    </w:p>
    <w:p>
      <w:pPr>
        <w:pStyle w:val="Heading3"/>
        <w:spacing w:before="200" w:after="100"/>
      </w:pPr>
      <w:r>
        <w:rPr>
          <w:rFonts w:ascii="Arial" w:cs="Arial" w:eastAsia="Arial" w:hAnsi="Arial"/>
          <w:b/>
          <w:bCs/>
          <w:color w:val="1A6B8A"/>
          <w:sz w:val="22"/>
          <w:szCs w:val="22"/>
        </w:rPr>
        <w:t xml:space="preserve">Cálculo de Retornos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cierres = precios de cierre últimos 60 días</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IF len(cierres) &lt; 60:</w:t>
            </w:r>
          </w:p>
          <w:p>
            <w:pPr>
              <w:spacing w:before="0" w:after="0"/>
            </w:pPr>
            <w:r>
              <w:rPr>
                <w:rFonts w:ascii="Consolas" w:cs="Consolas" w:eastAsia="Consolas" w:hAnsi="Consolas"/>
                <w:color w:val="1E1E1E"/>
                <w:sz w:val="17"/>
                <w:szCs w:val="17"/>
              </w:rPr>
              <w:t xml:space="preserve">    retorno_1m = 0; retorno_3m = 0</w:t>
            </w:r>
          </w:p>
          <w:p>
            <w:pPr>
              <w:spacing w:before="0" w:after="0"/>
            </w:pPr>
            <w:r>
              <w:rPr>
                <w:rFonts w:ascii="Consolas" w:cs="Consolas" w:eastAsia="Consolas" w:hAnsi="Consolas"/>
                <w:color w:val="1E1E1E"/>
                <w:sz w:val="17"/>
                <w:szCs w:val="17"/>
              </w:rPr>
              <w:t xml:space="preserve">ELSE:</w:t>
            </w:r>
          </w:p>
          <w:p>
            <w:pPr>
              <w:spacing w:before="0" w:after="0"/>
            </w:pPr>
            <w:r>
              <w:rPr>
                <w:rFonts w:ascii="Consolas" w:cs="Consolas" w:eastAsia="Consolas" w:hAnsi="Consolas"/>
                <w:color w:val="1E1E1E"/>
                <w:sz w:val="17"/>
                <w:szCs w:val="17"/>
              </w:rPr>
              <w:t xml:space="preserve">    retorno_1m = (cierres[-1] - cierres[-20]) / cierres[-20]</w:t>
            </w:r>
          </w:p>
          <w:p>
            <w:pPr>
              <w:spacing w:before="0" w:after="0"/>
            </w:pPr>
            <w:r>
              <w:rPr>
                <w:rFonts w:ascii="Consolas" w:cs="Consolas" w:eastAsia="Consolas" w:hAnsi="Consolas"/>
                <w:color w:val="1E1E1E"/>
                <w:sz w:val="17"/>
                <w:szCs w:val="17"/>
              </w:rPr>
              <w:t xml:space="preserve">    retorno_3m = (cierres[-1] - cierres[-60]) / cierres[-60]</w:t>
            </w:r>
          </w:p>
        </w:tc>
      </w:tr>
    </w:tbl>
    <w:p>
      <w:pPr>
        <w:pStyle w:val="Heading3"/>
        <w:spacing w:before="200" w:after="100"/>
      </w:pPr>
      <w:r>
        <w:rPr>
          <w:rFonts w:ascii="Arial" w:cs="Arial" w:eastAsia="Arial" w:hAnsi="Arial"/>
          <w:b/>
          <w:bCs/>
          <w:color w:val="1A6B8A"/>
          <w:sz w:val="22"/>
          <w:szCs w:val="22"/>
        </w:rPr>
        <w:t xml:space="preserve">Fórmula de Momentum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momentum_raw = (retorno_1m × 0.40) + (retorno_3m × 0.60)</w:t>
            </w:r>
          </w:p>
          <w:p>
            <w:pPr>
              <w:spacing w:before="0" w:after="0"/>
            </w:pPr>
            <w:r>
              <w:rPr>
                <w:rFonts w:ascii="Consolas" w:cs="Consolas" w:eastAsia="Consolas" w:hAnsi="Consolas"/>
                <w:color w:val="1E1E1E"/>
                <w:sz w:val="17"/>
                <w:szCs w:val="17"/>
              </w:rPr>
              <w:t xml:space="preserve">momentum_min = -0.20; momentum_max = 0.40</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IF momentum_raw &lt;= momentum_min:  momentum_score = 0</w:t>
            </w:r>
          </w:p>
          <w:p>
            <w:pPr>
              <w:spacing w:before="0" w:after="0"/>
            </w:pPr>
            <w:r>
              <w:rPr>
                <w:rFonts w:ascii="Consolas" w:cs="Consolas" w:eastAsia="Consolas" w:hAnsi="Consolas"/>
                <w:color w:val="1E1E1E"/>
                <w:sz w:val="17"/>
                <w:szCs w:val="17"/>
              </w:rPr>
              <w:t xml:space="preserve">ELIF momentum_raw &gt;= momentum_max: momentum_score = 1.0</w:t>
            </w:r>
          </w:p>
          <w:p>
            <w:pPr>
              <w:spacing w:before="0" w:after="0"/>
            </w:pPr>
            <w:r>
              <w:rPr>
                <w:rFonts w:ascii="Consolas" w:cs="Consolas" w:eastAsia="Consolas" w:hAnsi="Consolas"/>
                <w:color w:val="1E1E1E"/>
                <w:sz w:val="17"/>
                <w:szCs w:val="17"/>
              </w:rPr>
              <w:t xml:space="preserve">ELSE: momentum_score = (momentum_raw - momentum_min) / (momentum_max - momentum_min)</w:t>
            </w:r>
          </w:p>
        </w:tc>
      </w:tr>
    </w:tbl>
    <w:p>
      <w:pPr>
        <w:pStyle w:val="Heading2"/>
        <w:spacing w:before="240" w:after="120"/>
      </w:pPr>
      <w:r>
        <w:rPr>
          <w:rFonts w:ascii="Arial" w:cs="Arial" w:eastAsia="Arial" w:hAnsi="Arial"/>
          <w:b/>
          <w:bCs/>
          <w:color w:val="1B2A4A"/>
          <w:sz w:val="26"/>
          <w:szCs w:val="26"/>
        </w:rPr>
        <w:t xml:space="preserve">5.4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8F1F5"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Composite Score = (Value Score × 0.50) + (Quality Score × 0.25) + (Momentum Score × 0.25)</w:t>
            </w:r>
          </w:p>
        </w:tc>
      </w:tr>
    </w:tbl>
    <w:p>
      <w:pPr>
        <w:spacing w:before="100" w:after="100"/>
      </w:pPr>
    </w:p>
    <w:p>
      <w:pPr>
        <w:pStyle w:val="Heading3"/>
        <w:spacing w:before="200" w:after="100"/>
      </w:pPr>
      <w:r>
        <w:rPr>
          <w:rFonts w:ascii="Arial" w:cs="Arial" w:eastAsia="Arial" w:hAnsi="Arial"/>
          <w:b/>
          <w:bCs/>
          <w:color w:val="1A6B8A"/>
          <w:sz w:val="22"/>
          <w:szCs w:val="22"/>
        </w:rPr>
        <w:t xml:space="preserve">Interpretación del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Rango</w:t>
            </w:r>
          </w:p>
        </w:tc>
        <w:tc>
          <w:tcPr>
            <w:tcW w:type="dxa" w:w="31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Interpretación</w:t>
            </w:r>
          </w:p>
        </w:tc>
        <w:tc>
          <w:tcPr>
            <w:tcW w:type="dxa" w:w="31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Acción</w:t>
            </w:r>
          </w:p>
        </w:tc>
      </w:tr>
      <w:tr>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0.80 – 1.00</w:t>
            </w:r>
          </w:p>
        </w:tc>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Excelente</w:t>
            </w:r>
          </w:p>
        </w:tc>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Prioridad máxima</w:t>
            </w:r>
          </w:p>
        </w:tc>
      </w:tr>
      <w:tr>
        <w:tc>
          <w:tcPr>
            <w:tcW w:type="dxa" w:w="312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0.60 – 0.79</w:t>
            </w:r>
          </w:p>
        </w:tc>
        <w:tc>
          <w:tcPr>
            <w:tcW w:type="dxa" w:w="312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Bueno</w:t>
            </w:r>
          </w:p>
        </w:tc>
        <w:tc>
          <w:tcPr>
            <w:tcW w:type="dxa" w:w="312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Incluir en selección</w:t>
            </w:r>
          </w:p>
        </w:tc>
      </w:tr>
      <w:tr>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0.40 – 0.59</w:t>
            </w:r>
          </w:p>
        </w:tc>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Neutral</w:t>
            </w:r>
          </w:p>
        </w:tc>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Evaluar con cautela</w:t>
            </w:r>
          </w:p>
        </w:tc>
      </w:tr>
      <w:tr>
        <w:tc>
          <w:tcPr>
            <w:tcW w:type="dxa" w:w="312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0.20 – 0.39</w:t>
            </w:r>
          </w:p>
        </w:tc>
        <w:tc>
          <w:tcPr>
            <w:tcW w:type="dxa" w:w="312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Débil</w:t>
            </w:r>
          </w:p>
        </w:tc>
        <w:tc>
          <w:tcPr>
            <w:tcW w:type="dxa" w:w="312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Evitar</w:t>
            </w:r>
          </w:p>
        </w:tc>
      </w:tr>
      <w:tr>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0.00 – 0.19</w:t>
            </w:r>
          </w:p>
        </w:tc>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Muy débil</w:t>
            </w:r>
          </w:p>
        </w:tc>
        <w:tc>
          <w:tcPr>
            <w:tcW w:type="dxa" w:w="312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Excluir</w:t>
            </w:r>
          </w:p>
        </w:tc>
      </w:tr>
    </w:tbl>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6</w:t>
      </w:r>
      <w:r>
        <w:rPr>
          <w:rFonts w:ascii="Arial" w:cs="Arial" w:eastAsia="Arial" w:hAnsi="Arial"/>
          <w:b/>
          <w:bCs/>
          <w:color w:val="1B2A4A"/>
          <w:sz w:val="32"/>
          <w:szCs w:val="32"/>
        </w:rPr>
        <w:t xml:space="preserve">  GESTIÓN DE POSICIONES</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6.1 Número de Posiciones</w:t>
      </w:r>
    </w:p>
    <w:p>
      <w:pPr>
        <w:pStyle w:val="ListParagraph"/>
        <w:numPr>
          <w:ilvl w:val="0"/>
          <w:numId w:val="2"/>
        </w:numPr>
        <w:spacing w:before="40" w:after="40"/>
      </w:pPr>
      <w:r>
        <w:rPr>
          <w:rFonts w:ascii="Arial" w:cs="Arial" w:eastAsia="Arial" w:hAnsi="Arial"/>
          <w:b/>
          <w:bCs/>
          <w:color w:val="1E1E1E"/>
          <w:sz w:val="21"/>
          <w:szCs w:val="21"/>
        </w:rPr>
        <w:t xml:space="preserve">Objetivo: </w:t>
      </w:r>
      <w:r>
        <w:rPr>
          <w:rFonts w:ascii="Arial" w:cs="Arial" w:eastAsia="Arial" w:hAnsi="Arial"/>
          <w:color w:val="1E1E1E"/>
          <w:sz w:val="21"/>
          <w:szCs w:val="21"/>
        </w:rPr>
        <w:t xml:space="preserve">10 posiciones simultáneas</w:t>
      </w:r>
    </w:p>
    <w:p>
      <w:pPr>
        <w:pStyle w:val="ListParagraph"/>
        <w:numPr>
          <w:ilvl w:val="0"/>
          <w:numId w:val="2"/>
        </w:numPr>
        <w:spacing w:before="40" w:after="40"/>
      </w:pPr>
      <w:r>
        <w:rPr>
          <w:rFonts w:ascii="Arial" w:cs="Arial" w:eastAsia="Arial" w:hAnsi="Arial"/>
          <w:b/>
          <w:bCs/>
          <w:color w:val="1E1E1E"/>
          <w:sz w:val="21"/>
          <w:szCs w:val="21"/>
        </w:rPr>
        <w:t xml:space="preserve">Mínimo: </w:t>
      </w:r>
      <w:r>
        <w:rPr>
          <w:rFonts w:ascii="Arial" w:cs="Arial" w:eastAsia="Arial" w:hAnsi="Arial"/>
          <w:color w:val="1E1E1E"/>
          <w:sz w:val="21"/>
          <w:szCs w:val="21"/>
        </w:rPr>
        <w:t xml:space="preserve">5 posiciones (si el universo válido es limitado)</w:t>
      </w:r>
    </w:p>
    <w:p>
      <w:pPr>
        <w:pStyle w:val="ListParagraph"/>
        <w:numPr>
          <w:ilvl w:val="0"/>
          <w:numId w:val="2"/>
        </w:numPr>
        <w:spacing w:before="40" w:after="40"/>
      </w:pPr>
      <w:r>
        <w:rPr>
          <w:rFonts w:ascii="Arial" w:cs="Arial" w:eastAsia="Arial" w:hAnsi="Arial"/>
          <w:b/>
          <w:bCs/>
          <w:color w:val="1E1E1E"/>
          <w:sz w:val="21"/>
          <w:szCs w:val="21"/>
        </w:rPr>
        <w:t xml:space="preserve">Máximo: </w:t>
      </w:r>
      <w:r>
        <w:rPr>
          <w:rFonts w:ascii="Arial" w:cs="Arial" w:eastAsia="Arial" w:hAnsi="Arial"/>
          <w:color w:val="1E1E1E"/>
          <w:sz w:val="21"/>
          <w:szCs w:val="21"/>
        </w:rPr>
        <w:t xml:space="preserve">10 posiciones (nunca exceder)</w:t>
      </w:r>
    </w:p>
    <w:p>
      <w:pPr>
        <w:pStyle w:val="Heading2"/>
        <w:spacing w:before="240" w:after="120"/>
      </w:pPr>
      <w:r>
        <w:rPr>
          <w:rFonts w:ascii="Arial" w:cs="Arial" w:eastAsia="Arial" w:hAnsi="Arial"/>
          <w:b/>
          <w:bCs/>
          <w:color w:val="1B2A4A"/>
          <w:sz w:val="26"/>
          <w:szCs w:val="26"/>
        </w:rPr>
        <w:t xml:space="preserve">6.2 Capital Disponible para Posiciones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CAPITAL_TOTAL = $100,000 (o capital actual del portafolio)</w:t>
            </w:r>
          </w:p>
          <w:p>
            <w:pPr>
              <w:spacing w:before="0" w:after="0"/>
            </w:pPr>
            <w:r>
              <w:rPr>
                <w:rFonts w:ascii="Consolas" w:cs="Consolas" w:eastAsia="Consolas" w:hAnsi="Consolas"/>
                <w:color w:val="1E1E1E"/>
                <w:sz w:val="17"/>
                <w:szCs w:val="17"/>
              </w:rPr>
              <w:t xml:space="preserve">CASH_RESERVA  = 5% del CAPITAL_TOTAL</w:t>
            </w:r>
          </w:p>
          <w:p>
            <w:pPr>
              <w:spacing w:before="0" w:after="0"/>
            </w:pPr>
            <w:r>
              <w:rPr>
                <w:rFonts w:ascii="Consolas" w:cs="Consolas" w:eastAsia="Consolas" w:hAnsi="Consolas"/>
                <w:color w:val="1E1E1E"/>
                <w:sz w:val="17"/>
                <w:szCs w:val="17"/>
              </w:rPr>
              <w:t xml:space="preserve">CAPITAL_OPERABLE = CAPITAL_TOTAL - CASH_RESERVA</w:t>
            </w:r>
          </w:p>
        </w:tc>
      </w:tr>
    </w:tbl>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La reserva de cash del 5% se mantiene SIEMPRE disponible para:</w:t>
      </w:r>
    </w:p>
    <w:p>
      <w:pPr>
        <w:pStyle w:val="ListParagraph"/>
        <w:numPr>
          <w:ilvl w:val="0"/>
          <w:numId w:val="2"/>
        </w:numPr>
        <w:spacing w:before="40" w:after="40"/>
      </w:pPr>
      <w:r>
        <w:rPr>
          <w:rFonts w:ascii="Arial" w:cs="Arial" w:eastAsia="Arial" w:hAnsi="Arial"/>
          <w:color w:val="1E1E1E"/>
          <w:sz w:val="21"/>
          <w:szCs w:val="21"/>
        </w:rPr>
        <w:t xml:space="preserve">Márgenes de mantenimiento</w:t>
      </w:r>
    </w:p>
    <w:p>
      <w:pPr>
        <w:pStyle w:val="ListParagraph"/>
        <w:numPr>
          <w:ilvl w:val="0"/>
          <w:numId w:val="2"/>
        </w:numPr>
        <w:spacing w:before="40" w:after="40"/>
      </w:pPr>
      <w:r>
        <w:rPr>
          <w:rFonts w:ascii="Arial" w:cs="Arial" w:eastAsia="Arial" w:hAnsi="Arial"/>
          <w:color w:val="1E1E1E"/>
          <w:sz w:val="21"/>
          <w:szCs w:val="21"/>
        </w:rPr>
        <w:t xml:space="preserve">Oportunidades de rebalanceo</w:t>
      </w:r>
    </w:p>
    <w:p>
      <w:pPr>
        <w:pStyle w:val="ListParagraph"/>
        <w:numPr>
          <w:ilvl w:val="0"/>
          <w:numId w:val="2"/>
        </w:numPr>
        <w:spacing w:before="40" w:after="40"/>
      </w:pPr>
      <w:r>
        <w:rPr>
          <w:rFonts w:ascii="Arial" w:cs="Arial" w:eastAsia="Arial" w:hAnsi="Arial"/>
          <w:color w:val="1E1E1E"/>
          <w:sz w:val="21"/>
          <w:szCs w:val="21"/>
        </w:rPr>
        <w:t xml:space="preserve">Protección contra gaps adversos</w:t>
      </w:r>
    </w:p>
    <w:p>
      <w:pPr>
        <w:pStyle w:val="Heading2"/>
        <w:spacing w:before="240" w:after="120"/>
      </w:pPr>
      <w:r>
        <w:rPr>
          <w:rFonts w:ascii="Arial" w:cs="Arial" w:eastAsia="Arial" w:hAnsi="Arial"/>
          <w:b/>
          <w:bCs/>
          <w:color w:val="1B2A4A"/>
          <w:sz w:val="26"/>
          <w:szCs w:val="26"/>
        </w:rPr>
        <w:t xml:space="preserve">6.3 Risk Parity Sizing</w:t>
      </w:r>
    </w:p>
    <w:p>
      <w:pPr>
        <w:pStyle w:val="Heading3"/>
        <w:spacing w:before="200" w:after="100"/>
      </w:pPr>
      <w:r>
        <w:rPr>
          <w:rFonts w:ascii="Arial" w:cs="Arial" w:eastAsia="Arial" w:hAnsi="Arial"/>
          <w:b/>
          <w:bCs/>
          <w:color w:val="1A6B8A"/>
          <w:sz w:val="22"/>
          <w:szCs w:val="22"/>
        </w:rPr>
        <w:t xml:space="preserve">6.3.1 Cálculo de Volatilidad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def calcular_volatilidad(simbolo, lookback=20):</w:t>
            </w:r>
          </w:p>
          <w:p>
            <w:pPr>
              <w:spacing w:before="0" w:after="0"/>
            </w:pPr>
            <w:r>
              <w:rPr>
                <w:rFonts w:ascii="Consolas" w:cs="Consolas" w:eastAsia="Consolas" w:hAnsi="Consolas"/>
                <w:color w:val="1E1E1E"/>
                <w:sz w:val="17"/>
                <w:szCs w:val="17"/>
              </w:rPr>
              <w:t xml:space="preserve">    precios = datos[simbolo]['Close'][-lookback:]</w:t>
            </w:r>
          </w:p>
          <w:p>
            <w:pPr>
              <w:spacing w:before="0" w:after="0"/>
            </w:pPr>
            <w:r>
              <w:rPr>
                <w:rFonts w:ascii="Consolas" w:cs="Consolas" w:eastAsia="Consolas" w:hAnsi="Consolas"/>
                <w:color w:val="1E1E1E"/>
                <w:sz w:val="17"/>
                <w:szCs w:val="17"/>
              </w:rPr>
              <w:t xml:space="preserve">    IF len(precios) &lt; lookback: RETURN 0.20</w:t>
            </w:r>
          </w:p>
          <w:p>
            <w:pPr>
              <w:spacing w:before="0" w:after="0"/>
            </w:pPr>
            <w:r>
              <w:rPr>
                <w:rFonts w:ascii="Consolas" w:cs="Consolas" w:eastAsia="Consolas" w:hAnsi="Consolas"/>
                <w:color w:val="1E1E1E"/>
                <w:sz w:val="17"/>
                <w:szCs w:val="17"/>
              </w:rPr>
              <w:t xml:space="preserve">    retornos = diferencia_porcentual(precios)</w:t>
            </w:r>
          </w:p>
          <w:p>
            <w:pPr>
              <w:spacing w:before="0" w:after="0"/>
            </w:pPr>
            <w:r>
              <w:rPr>
                <w:rFonts w:ascii="Consolas" w:cs="Consolas" w:eastAsia="Consolas" w:hAnsi="Consolas"/>
                <w:color w:val="1E1E1E"/>
                <w:sz w:val="17"/>
                <w:szCs w:val="17"/>
              </w:rPr>
              <w:t xml:space="preserve">    vol_diaria = desviacion_estandar(retornos)</w:t>
            </w:r>
          </w:p>
          <w:p>
            <w:pPr>
              <w:spacing w:before="0" w:after="0"/>
            </w:pPr>
            <w:r>
              <w:rPr>
                <w:rFonts w:ascii="Consolas" w:cs="Consolas" w:eastAsia="Consolas" w:hAnsi="Consolas"/>
                <w:color w:val="1E1E1E"/>
                <w:sz w:val="17"/>
                <w:szCs w:val="17"/>
              </w:rPr>
              <w:t xml:space="preserve">    vol_anualizada = vol_diaria × √252</w:t>
            </w:r>
          </w:p>
          <w:p>
            <w:pPr>
              <w:spacing w:before="0" w:after="0"/>
            </w:pPr>
            <w:r>
              <w:rPr>
                <w:rFonts w:ascii="Consolas" w:cs="Consolas" w:eastAsia="Consolas" w:hAnsi="Consolas"/>
                <w:color w:val="1E1E1E"/>
                <w:sz w:val="17"/>
                <w:szCs w:val="17"/>
              </w:rPr>
              <w:t xml:space="preserve">    RETURN max(0.05, min(vol_anualizada, 1.00))</w:t>
            </w:r>
          </w:p>
        </w:tc>
      </w:tr>
    </w:tbl>
    <w:p>
      <w:pPr>
        <w:pStyle w:val="Heading3"/>
        <w:spacing w:before="200" w:after="100"/>
      </w:pPr>
      <w:r>
        <w:rPr>
          <w:rFonts w:ascii="Arial" w:cs="Arial" w:eastAsia="Arial" w:hAnsi="Arial"/>
          <w:b/>
          <w:bCs/>
          <w:color w:val="1A6B8A"/>
          <w:sz w:val="22"/>
          <w:szCs w:val="22"/>
        </w:rPr>
        <w:t xml:space="preserve">6.3.2 Cálculo de Pesos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 Paso 1: Calcular inverso de volatilidad</w:t>
            </w:r>
          </w:p>
          <w:p>
            <w:pPr>
              <w:spacing w:before="0" w:after="0"/>
            </w:pPr>
            <w:r>
              <w:rPr>
                <w:rFonts w:ascii="Consolas" w:cs="Consolas" w:eastAsia="Consolas" w:hAnsi="Consolas"/>
                <w:color w:val="1E1E1E"/>
                <w:sz w:val="17"/>
                <w:szCs w:val="17"/>
              </w:rPr>
              <w:t xml:space="preserve">PARA cada simbolo EN seleccionados:</w:t>
            </w:r>
          </w:p>
          <w:p>
            <w:pPr>
              <w:spacing w:before="0" w:after="0"/>
            </w:pPr>
            <w:r>
              <w:rPr>
                <w:rFonts w:ascii="Consolas" w:cs="Consolas" w:eastAsia="Consolas" w:hAnsi="Consolas"/>
                <w:color w:val="1E1E1E"/>
                <w:sz w:val="17"/>
                <w:szCs w:val="17"/>
              </w:rPr>
              <w:t xml:space="preserve">    inversos[simbolo] = 1 / calcular_volatilidad(simbolo)</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 Paso 2: Normalizar</w:t>
            </w:r>
          </w:p>
          <w:p>
            <w:pPr>
              <w:spacing w:before="0" w:after="0"/>
            </w:pPr>
            <w:r>
              <w:rPr>
                <w:rFonts w:ascii="Consolas" w:cs="Consolas" w:eastAsia="Consolas" w:hAnsi="Consolas"/>
                <w:color w:val="1E1E1E"/>
                <w:sz w:val="17"/>
                <w:szCs w:val="17"/>
              </w:rPr>
              <w:t xml:space="preserve">suma_inversos = suma(inversos.values())</w:t>
            </w:r>
          </w:p>
          <w:p>
            <w:pPr>
              <w:spacing w:before="0" w:after="0"/>
            </w:pPr>
            <w:r>
              <w:rPr>
                <w:rFonts w:ascii="Consolas" w:cs="Consolas" w:eastAsia="Consolas" w:hAnsi="Consolas"/>
                <w:color w:val="1E1E1E"/>
                <w:sz w:val="17"/>
                <w:szCs w:val="17"/>
              </w:rPr>
              <w:t xml:space="preserve">PARA cada simbolo EN seleccionados:</w:t>
            </w:r>
          </w:p>
          <w:p>
            <w:pPr>
              <w:spacing w:before="0" w:after="0"/>
            </w:pPr>
            <w:r>
              <w:rPr>
                <w:rFonts w:ascii="Consolas" w:cs="Consolas" w:eastAsia="Consolas" w:hAnsi="Consolas"/>
                <w:color w:val="1E1E1E"/>
                <w:sz w:val="17"/>
                <w:szCs w:val="17"/>
              </w:rPr>
              <w:t xml:space="preserve">    pesos[simbolo] = inversos[simbolo] / suma_inversos</w:t>
            </w:r>
          </w:p>
        </w:tc>
      </w:tr>
    </w:tbl>
    <w:p>
      <w:pPr>
        <w:pStyle w:val="Heading3"/>
        <w:spacing w:before="200" w:after="100"/>
      </w:pPr>
      <w:r>
        <w:rPr>
          <w:rFonts w:ascii="Arial" w:cs="Arial" w:eastAsia="Arial" w:hAnsi="Arial"/>
          <w:b/>
          <w:bCs/>
          <w:color w:val="1A6B8A"/>
          <w:sz w:val="22"/>
          <w:szCs w:val="22"/>
        </w:rPr>
        <w:t xml:space="preserve">6.3.3 Ejemplo de Cálculo</w:t>
      </w:r>
    </w:p>
    <w:p>
      <w:pPr>
        <w:pStyle w:val="Heading3"/>
      </w:pPr>
      <w:r>
        <w:t>Volatilidad relevante: por defecto se usa volatilidad de retornos diarios Close-to-Close (ventana 20 días).</w:t>
      </w:r>
    </w:p>
    <w:p>
      <w:pPr>
        <w:pStyle w:val="Heading3"/>
      </w:pPr>
      <w:r>
        <w:t>Para capturar riesgo overnight, opcionalmente calcular también volatilidad Close-to-Open (20 días) y usar la mayor de ambas en el sizing.</w:t>
      </w:r>
    </w:p>
    <w:p>
      <w:pPr>
        <w:pStyle w:val="Heading3"/>
      </w:pPr>
      <w:r>
        <w:t>El peso preliminar es proporcional a 1/volatilidad; luego se normaliza y se ajusta por límites (Sección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Símbolo</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Volatilidad</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Inverso</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Peso Normalizado</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BRK-B</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15%</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6.67</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18.5%</w:t>
            </w:r>
          </w:p>
        </w:tc>
      </w:tr>
      <w:tr>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VZ</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18%</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5.56</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15.4%</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BAC</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25%</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4.00</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11.1%</w:t>
            </w:r>
          </w:p>
        </w:tc>
      </w:tr>
      <w:tr>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bCs/>
                <w:color w:val="1E1E1E"/>
                <w:sz w:val="19"/>
                <w:szCs w:val="19"/>
              </w:rPr>
              <w:t xml:space="preserve">Total</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36.0</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100%</w:t>
            </w:r>
          </w:p>
        </w:tc>
      </w:tr>
    </w:tbl>
    <w:p>
      <w:pPr>
        <w:pStyle w:val="Heading2"/>
        <w:spacing w:before="240" w:after="120"/>
      </w:pPr>
      <w:r>
        <w:rPr>
          <w:rFonts w:ascii="Arial" w:cs="Arial" w:eastAsia="Arial" w:hAnsi="Arial"/>
          <w:b/>
          <w:bCs/>
          <w:color w:val="1B2A4A"/>
          <w:sz w:val="26"/>
          <w:szCs w:val="26"/>
        </w:rPr>
        <w:t xml:space="preserve">6.4 Tamaño de Posición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PARA cada simbolo EN seleccionados:</w:t>
            </w:r>
          </w:p>
          <w:p>
            <w:pPr>
              <w:spacing w:before="0" w:after="0"/>
            </w:pPr>
            <w:r>
              <w:rPr>
                <w:rFonts w:ascii="Consolas" w:cs="Consolas" w:eastAsia="Consolas" w:hAnsi="Consolas"/>
                <w:color w:val="1E1E1E"/>
                <w:sz w:val="17"/>
                <w:szCs w:val="17"/>
              </w:rPr>
              <w:t xml:space="preserve">    valor_posicion = CAPITAL_OPERABLE × pesos[simbolo]</w:t>
            </w:r>
          </w:p>
          <w:p>
            <w:pPr>
              <w:spacing w:before="0" w:after="0"/>
            </w:pPr>
            <w:r>
              <w:rPr>
                <w:rFonts w:ascii="Consolas" w:cs="Consolas" w:eastAsia="Consolas" w:hAnsi="Consolas"/>
                <w:color w:val="1E1E1E"/>
                <w:sz w:val="17"/>
                <w:szCs w:val="17"/>
              </w:rPr>
              <w:t xml:space="preserve">    valor_maximo = CAPITAL_OPERABLE × 0.20</w:t>
            </w:r>
          </w:p>
          <w:p>
            <w:pPr>
              <w:spacing w:before="0" w:after="0"/>
            </w:pPr>
            <w:r>
              <w:rPr>
                <w:rFonts w:ascii="Consolas" w:cs="Consolas" w:eastAsia="Consolas" w:hAnsi="Consolas"/>
                <w:color w:val="1E1E1E"/>
                <w:sz w:val="17"/>
                <w:szCs w:val="17"/>
              </w:rPr>
              <w:t xml:space="preserve">    valor_posicion = min(valor_posicion, valor_maximo)</w:t>
            </w:r>
          </w:p>
          <w:p>
            <w:pPr>
              <w:spacing w:before="0" w:after="0"/>
            </w:pPr>
            <w:r>
              <w:rPr>
                <w:rFonts w:ascii="Consolas" w:cs="Consolas" w:eastAsia="Consolas" w:hAnsi="Consolas"/>
                <w:color w:val="1E1E1E"/>
                <w:sz w:val="17"/>
                <w:szCs w:val="17"/>
              </w:rPr>
              <w:t xml:space="preserve">    precio_entrada = precio_apertura(simbolo, fecha)</w:t>
            </w:r>
          </w:p>
          <w:p>
            <w:pPr>
              <w:spacing w:before="0" w:after="0"/>
            </w:pPr>
            <w:r>
              <w:rPr>
                <w:rFonts w:ascii="Consolas" w:cs="Consolas" w:eastAsia="Consolas" w:hAnsi="Consolas"/>
                <w:color w:val="1E1E1E"/>
                <w:sz w:val="17"/>
                <w:szCs w:val="17"/>
              </w:rPr>
              <w:t xml:space="preserve">    acciones = redondear_hacia_abajo(valor_posicion / precio_entrada)</w:t>
            </w:r>
          </w:p>
        </w:tc>
      </w:tr>
    </w:tbl>
    <w:p>
      <w:pPr>
        <w:pStyle w:val="Heading2"/>
        <w:spacing w:before="240" w:after="120"/>
      </w:pPr>
      <w:r>
        <w:rPr>
          <w:rFonts w:ascii="Arial" w:cs="Arial" w:eastAsia="Arial" w:hAnsi="Arial"/>
          <w:b/>
          <w:bCs/>
          <w:color w:val="1B2A4A"/>
          <w:sz w:val="26"/>
          <w:szCs w:val="26"/>
        </w:rPr>
        <w:t xml:space="preserve">6.5 Límites de Posición</w:t>
      </w:r>
    </w:p>
    <w:p>
      <w:pPr>
        <w:pStyle w:val="Heading3"/>
        <w:spacing w:before="200" w:after="100"/>
      </w:pPr>
      <w:r>
        <w:rPr>
          <w:rFonts w:ascii="Arial" w:cs="Arial" w:eastAsia="Arial" w:hAnsi="Arial"/>
          <w:b/>
          <w:bCs/>
          <w:color w:val="1A6B8A"/>
          <w:sz w:val="22"/>
          <w:szCs w:val="22"/>
        </w:rPr>
        <w:t xml:space="preserve">Límites Duros (nunca exceder)</w:t>
      </w:r>
    </w:p>
    <w:p>
      <w:pPr>
        <w:pStyle w:val="ListParagraph"/>
        <w:numPr>
          <w:ilvl w:val="0"/>
          <w:numId w:val="2"/>
        </w:numPr>
        <w:spacing w:before="40" w:after="40"/>
      </w:pPr>
      <w:r>
        <w:rPr>
          <w:rFonts w:ascii="Arial" w:cs="Arial" w:eastAsia="Arial" w:hAnsi="Arial"/>
          <w:color w:val="1E1E1E"/>
          <w:sz w:val="21"/>
          <w:szCs w:val="21"/>
        </w:rPr>
        <w:t xml:space="preserve">Máximo por posición: 20% del capital</w:t>
      </w:r>
    </w:p>
    <w:p>
      <w:pPr>
        <w:pStyle w:val="ListParagraph"/>
        <w:numPr>
          <w:ilvl w:val="0"/>
          <w:numId w:val="2"/>
        </w:numPr>
        <w:spacing w:before="40" w:after="40"/>
      </w:pPr>
      <w:r>
        <w:rPr>
          <w:rFonts w:ascii="Arial" w:cs="Arial" w:eastAsia="Arial" w:hAnsi="Arial"/>
          <w:color w:val="1E1E1E"/>
          <w:sz w:val="21"/>
          <w:szCs w:val="21"/>
        </w:rPr>
        <w:t xml:space="preserve">Mínimo por posición: $1,000 (o 1% del capital, el mayor)</w:t>
      </w:r>
    </w:p>
    <w:p>
      <w:pPr>
        <w:pStyle w:val="ListParagraph"/>
        <w:numPr>
          <w:ilvl w:val="0"/>
          <w:numId w:val="2"/>
        </w:numPr>
        <w:spacing w:before="40" w:after="40"/>
      </w:pPr>
      <w:r>
        <w:rPr>
          <w:rFonts w:ascii="Arial" w:cs="Arial" w:eastAsia="Arial" w:hAnsi="Arial"/>
          <w:color w:val="1E1E1E"/>
          <w:sz w:val="21"/>
          <w:szCs w:val="21"/>
        </w:rPr>
        <w:t xml:space="preserve">Máximo por sector: 40% del capital</w:t>
      </w:r>
    </w:p>
    <w:p>
      <w:pPr>
        <w:pStyle w:val="Heading3"/>
        <w:spacing w:before="200" w:after="100"/>
      </w:pPr>
      <w:r>
        <w:rPr>
          <w:rFonts w:ascii="Arial" w:cs="Arial" w:eastAsia="Arial" w:hAnsi="Arial"/>
          <w:b/>
          <w:bCs/>
          <w:color w:val="1A6B8A"/>
          <w:sz w:val="22"/>
          <w:szCs w:val="22"/>
        </w:rPr>
        <w:t xml:space="preserve">Límites de Advertencia (revisar si se exceden)</w:t>
      </w:r>
    </w:p>
    <w:p>
      <w:pPr>
        <w:pStyle w:val="ListParagraph"/>
        <w:numPr>
          <w:ilvl w:val="0"/>
          <w:numId w:val="2"/>
        </w:numPr>
        <w:spacing w:before="40" w:after="40"/>
      </w:pPr>
      <w:r>
        <w:rPr>
          <w:rFonts w:ascii="Arial" w:cs="Arial" w:eastAsia="Arial" w:hAnsi="Arial"/>
          <w:color w:val="1E1E1E"/>
          <w:sz w:val="21"/>
          <w:szCs w:val="21"/>
        </w:rPr>
        <w:t xml:space="preserve">Volatilidad de posición &gt; 40% anualizada</w:t>
      </w:r>
    </w:p>
    <w:p>
      <w:pPr>
        <w:pStyle w:val="ListParagraph"/>
        <w:numPr>
          <w:ilvl w:val="0"/>
          <w:numId w:val="2"/>
        </w:numPr>
        <w:spacing w:before="40" w:after="40"/>
      </w:pPr>
      <w:r>
        <w:rPr>
          <w:rFonts w:ascii="Arial" w:cs="Arial" w:eastAsia="Arial" w:hAnsi="Arial"/>
          <w:color w:val="1E1E1E"/>
          <w:sz w:val="21"/>
          <w:szCs w:val="21"/>
        </w:rPr>
        <w:t xml:space="preserve">Correlación con portafolio &gt; 0.80</w:t>
      </w:r>
    </w:p>
    <w:p>
      <w:pPr>
        <w:pStyle w:val="ListParagraph"/>
      </w:pPr>
      <w:r>
        <w:t>Límite duro adicional (riesgo): ES/GAP estimado por posición &lt;= 5% del capital (definición en 2.1).</w:t>
      </w:r>
    </w:p>
    <w:p>
      <w:pPr>
        <w:pStyle w:val="ListParagraph"/>
      </w:pPr>
      <w:r>
        <w:t>Regla dura de correlación: si la correlación par-a-par (20 días) entre dos posiciones &gt; 0.85, reducir el peso combinado de ambas hasta que el riesgo agregado vuelva a estar dentro de límites (haircut proporcional).</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7</w:t>
      </w:r>
      <w:r>
        <w:rPr>
          <w:rFonts w:ascii="Arial" w:cs="Arial" w:eastAsia="Arial" w:hAnsi="Arial"/>
          <w:b/>
          <w:bCs/>
          <w:color w:val="1B2A4A"/>
          <w:sz w:val="32"/>
          <w:szCs w:val="32"/>
        </w:rPr>
        <w:t xml:space="preserve">  TIMING DE ENTRADA Y SALIDA</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7.1 Duración del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8F1F5"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TODAS las posiciones se mantienen exactamente 666 minutos.</w:t>
            </w:r>
          </w:p>
        </w:tc>
      </w:tr>
    </w:tbl>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Equivalencias:</w:t>
      </w:r>
    </w:p>
    <w:p>
      <w:pPr>
        <w:pStyle w:val="ListParagraph"/>
        <w:numPr>
          <w:ilvl w:val="0"/>
          <w:numId w:val="2"/>
        </w:numPr>
        <w:spacing w:before="40" w:after="40"/>
      </w:pPr>
      <w:r>
        <w:rPr>
          <w:rFonts w:ascii="Arial" w:cs="Arial" w:eastAsia="Arial" w:hAnsi="Arial"/>
          <w:color w:val="1E1E1E"/>
          <w:sz w:val="21"/>
          <w:szCs w:val="21"/>
        </w:rPr>
        <w:t xml:space="preserve">666 minutos = 11.1 horas</w:t>
      </w:r>
    </w:p>
    <w:p>
      <w:pPr>
        <w:pStyle w:val="ListParagraph"/>
        <w:numPr>
          <w:ilvl w:val="0"/>
          <w:numId w:val="2"/>
        </w:numPr>
        <w:spacing w:before="40" w:after="40"/>
      </w:pPr>
      <w:r>
        <w:rPr>
          <w:rFonts w:ascii="Arial" w:cs="Arial" w:eastAsia="Arial" w:hAnsi="Arial"/>
          <w:color w:val="1E1E1E"/>
          <w:sz w:val="21"/>
          <w:szCs w:val="21"/>
        </w:rPr>
        <w:t xml:space="preserve">666 minutos = 1 día de trading (390 min) + 276 minutos del día siguiente</w:t>
      </w:r>
    </w:p>
    <w:p>
      <w:pPr>
        <w:pStyle w:val="ListParagraph"/>
        <w:numPr>
          <w:ilvl w:val="0"/>
          <w:numId w:val="2"/>
        </w:numPr>
        <w:spacing w:before="40" w:after="40"/>
      </w:pPr>
      <w:r>
        <w:rPr>
          <w:rFonts w:ascii="Arial" w:cs="Arial" w:eastAsia="Arial" w:hAnsi="Arial"/>
          <w:color w:val="1E1E1E"/>
          <w:sz w:val="21"/>
          <w:szCs w:val="21"/>
        </w:rPr>
        <w:t xml:space="preserve">666 minutos = 1 overnight + 4.6 horas del día siguiente</w:t>
      </w:r>
    </w:p>
    <w:p>
      <w:pPr>
        <w:pStyle w:val="ListParagraph"/>
      </w:pPr>
    </w:p>
    <w:p>
      <w:pPr>
        <w:pStyle w:val="ListParagraph"/>
      </w:pPr>
      <w:r>
        <w:t>Racional del hold 666:</w:t>
      </w:r>
    </w:p>
    <w:p>
      <w:pPr>
        <w:pStyle w:val="ListParagraph"/>
      </w:pPr>
      <w:r>
        <w:t>Busca capturar la prima overnight y evitar el ruido de stops intradía, manteniendo una ventana suficientemente corta para rebalanceos frecuentes.</w:t>
      </w:r>
    </w:p>
    <w:p>
      <w:pPr>
        <w:pStyle w:val="ListParagraph"/>
      </w:pPr>
      <w:r>
        <w:t>Robustez requerida: reportar sensibilidad del desempeño para holds entre 600 y 720 minutos; si el edge depende de un valor único, se considera sobreajuste (ver 11.6).</w:t>
      </w:r>
    </w:p>
    <w:p>
      <w:pPr>
        <w:pStyle w:val="Heading2"/>
        <w:spacing w:before="240" w:after="120"/>
      </w:pPr>
      <w:r>
        <w:rPr>
          <w:rFonts w:ascii="Arial" w:cs="Arial" w:eastAsia="Arial" w:hAnsi="Arial"/>
          <w:b/>
          <w:bCs/>
          <w:color w:val="1B2A4A"/>
          <w:sz w:val="26"/>
          <w:szCs w:val="26"/>
        </w:rPr>
        <w:t xml:space="preserve">7.2 Momento de Entrada</w:t>
      </w:r>
    </w:p>
    <w:p>
      <w:pPr>
        <w:pStyle w:val="Heading3"/>
        <w:spacing w:before="200" w:after="100"/>
      </w:pPr>
      <w:r>
        <w:rPr>
          <w:rFonts w:ascii="Arial" w:cs="Arial" w:eastAsia="Arial" w:hAnsi="Arial"/>
          <w:b/>
          <w:bCs/>
          <w:color w:val="1A6B8A"/>
          <w:sz w:val="22"/>
          <w:szCs w:val="22"/>
        </w:rPr>
        <w:t xml:space="preserve">7.2.1 Minuto de Entrada Aleatorio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semilla = hash(f"{simbolo}_{fecha}_{SEED_GLOBAL}")</w:t>
            </w:r>
          </w:p>
          <w:p>
            <w:pPr>
              <w:spacing w:before="0" w:after="0"/>
            </w:pPr>
            <w:r>
              <w:rPr>
                <w:rFonts w:ascii="Consolas" w:cs="Consolas" w:eastAsia="Consolas" w:hAnsi="Consolas"/>
                <w:color w:val="1E1E1E"/>
                <w:sz w:val="17"/>
                <w:szCs w:val="17"/>
              </w:rPr>
              <w:t xml:space="preserve">aleatorio.inicializar(semilla)</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 Distribución de entrada:</w:t>
            </w:r>
          </w:p>
          <w:p>
            <w:pPr>
              <w:spacing w:before="0" w:after="0"/>
            </w:pPr>
            <w:r>
              <w:rPr>
                <w:rFonts w:ascii="Consolas" w:cs="Consolas" w:eastAsia="Consolas" w:hAnsi="Consolas"/>
                <w:color w:val="1E1E1E"/>
                <w:sz w:val="17"/>
                <w:szCs w:val="17"/>
              </w:rPr>
              <w:t xml:space="preserve">#   60% en horas de mayor liquidez:</w:t>
            </w:r>
          </w:p>
          <w:p>
            <w:pPr>
              <w:spacing w:before="0" w:after="0"/>
            </w:pPr>
            <w:r>
              <w:rPr>
                <w:rFonts w:ascii="Consolas" w:cs="Consolas" w:eastAsia="Consolas" w:hAnsi="Consolas"/>
                <w:color w:val="1E1E1E"/>
                <w:sz w:val="17"/>
                <w:szCs w:val="17"/>
              </w:rPr>
              <w:t xml:space="preserve">#     30% primera hora (min 0-60)</w:t>
            </w:r>
          </w:p>
          <w:p>
            <w:pPr>
              <w:spacing w:before="0" w:after="0"/>
            </w:pPr>
            <w:r>
              <w:rPr>
                <w:rFonts w:ascii="Consolas" w:cs="Consolas" w:eastAsia="Consolas" w:hAnsi="Consolas"/>
                <w:color w:val="1E1E1E"/>
                <w:sz w:val="17"/>
                <w:szCs w:val="17"/>
              </w:rPr>
              <w:t xml:space="preserve">#     30% última hora y media (min 270-389)</w:t>
            </w:r>
          </w:p>
          <w:p>
            <w:pPr>
              <w:spacing w:before="0" w:after="0"/>
            </w:pPr>
            <w:r>
              <w:rPr>
                <w:rFonts w:ascii="Consolas" w:cs="Consolas" w:eastAsia="Consolas" w:hAnsi="Consolas"/>
                <w:color w:val="1E1E1E"/>
                <w:sz w:val="17"/>
                <w:szCs w:val="17"/>
              </w:rPr>
              <w:t xml:space="preserve">#   40% en cualquier momento del día</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SI aleatorio.uniforme(0,1) &lt; 0.6:</w:t>
            </w:r>
          </w:p>
          <w:p>
            <w:pPr>
              <w:spacing w:before="0" w:after="0"/>
            </w:pPr>
            <w:r>
              <w:rPr>
                <w:rFonts w:ascii="Consolas" w:cs="Consolas" w:eastAsia="Consolas" w:hAnsi="Consolas"/>
                <w:color w:val="1E1E1E"/>
                <w:sz w:val="17"/>
                <w:szCs w:val="17"/>
              </w:rPr>
              <w:t xml:space="preserve">    SI aleatorio.uniforme(0,1) &lt; 0.5:</w:t>
            </w:r>
          </w:p>
          <w:p>
            <w:pPr>
              <w:spacing w:before="0" w:after="0"/>
            </w:pPr>
            <w:r>
              <w:rPr>
                <w:rFonts w:ascii="Consolas" w:cs="Consolas" w:eastAsia="Consolas" w:hAnsi="Consolas"/>
                <w:color w:val="1E1E1E"/>
                <w:sz w:val="17"/>
                <w:szCs w:val="17"/>
              </w:rPr>
              <w:t xml:space="preserve">        minuto_entrada = aleatorio.entero(0, 60)</w:t>
            </w:r>
          </w:p>
          <w:p>
            <w:pPr>
              <w:spacing w:before="0" w:after="0"/>
            </w:pPr>
            <w:r>
              <w:rPr>
                <w:rFonts w:ascii="Consolas" w:cs="Consolas" w:eastAsia="Consolas" w:hAnsi="Consolas"/>
                <w:color w:val="1E1E1E"/>
                <w:sz w:val="17"/>
                <w:szCs w:val="17"/>
              </w:rPr>
              <w:t xml:space="preserve">    SINO:</w:t>
            </w:r>
          </w:p>
          <w:p>
            <w:pPr>
              <w:spacing w:before="0" w:after="0"/>
            </w:pPr>
            <w:r>
              <w:rPr>
                <w:rFonts w:ascii="Consolas" w:cs="Consolas" w:eastAsia="Consolas" w:hAnsi="Consolas"/>
                <w:color w:val="1E1E1E"/>
                <w:sz w:val="17"/>
                <w:szCs w:val="17"/>
              </w:rPr>
              <w:t xml:space="preserve">        minuto_entrada = aleatorio.entero(270, 389)</w:t>
            </w:r>
          </w:p>
          <w:p>
            <w:pPr>
              <w:spacing w:before="0" w:after="0"/>
            </w:pPr>
            <w:r>
              <w:rPr>
                <w:rFonts w:ascii="Consolas" w:cs="Consolas" w:eastAsia="Consolas" w:hAnsi="Consolas"/>
                <w:color w:val="1E1E1E"/>
                <w:sz w:val="17"/>
                <w:szCs w:val="17"/>
              </w:rPr>
              <w:t xml:space="preserve">SINO:</w:t>
            </w:r>
          </w:p>
          <w:p>
            <w:pPr>
              <w:spacing w:before="0" w:after="0"/>
            </w:pPr>
            <w:r>
              <w:rPr>
                <w:rFonts w:ascii="Consolas" w:cs="Consolas" w:eastAsia="Consolas" w:hAnsi="Consolas"/>
                <w:color w:val="1E1E1E"/>
                <w:sz w:val="17"/>
                <w:szCs w:val="17"/>
              </w:rPr>
              <w:t xml:space="preserve">    minuto_entrada = aleatorio.entero(0, 389)</w:t>
            </w:r>
          </w:p>
        </w:tc>
      </w:tr>
    </w:tbl>
    <w:p>
      <w:pPr>
        <w:pStyle w:val="Heading3"/>
        <w:spacing w:before="200" w:after="100"/>
      </w:pPr>
      <w:r>
        <w:rPr>
          <w:rFonts w:ascii="Arial" w:cs="Arial" w:eastAsia="Arial" w:hAnsi="Arial"/>
          <w:b/>
          <w:bCs/>
          <w:color w:val="1A6B8A"/>
          <w:sz w:val="22"/>
          <w:szCs w:val="22"/>
        </w:rPr>
        <w:t xml:space="preserve">7.2.2 Precio de Entrada</w:t>
      </w:r>
    </w:p>
    <w:p>
      <w:pPr>
        <w:spacing w:before="60" w:after="60"/>
        <w:jc w:val="left"/>
      </w:pPr>
      <w:r>
        <w:t>PRECIO_ENTRADA: en live, precio de mercado en el minuto de entrada programado. En backtest intradía, usar el precio del bar correspondiente. Si solo hay datos diarios, aproximar con Open (marcar como backtest aproximado).</w:t>
      </w:r>
    </w:p>
    <w:p>
      <w:pPr>
        <w:pStyle w:val="Heading2"/>
        <w:spacing w:before="240" w:after="120"/>
      </w:pPr>
      <w:r>
        <w:rPr>
          <w:rFonts w:ascii="Arial" w:cs="Arial" w:eastAsia="Arial" w:hAnsi="Arial"/>
          <w:b/>
          <w:bCs/>
          <w:color w:val="1B2A4A"/>
          <w:sz w:val="26"/>
          <w:szCs w:val="26"/>
        </w:rPr>
        <w:t xml:space="preserve">7.3 Momento de Salida</w:t>
      </w:r>
    </w:p>
    <w:p>
      <w:pPr>
        <w:pStyle w:val="Heading3"/>
        <w:spacing w:before="200" w:after="100"/>
      </w:pPr>
      <w:r>
        <w:rPr>
          <w:rFonts w:ascii="Arial" w:cs="Arial" w:eastAsia="Arial" w:hAnsi="Arial"/>
          <w:b/>
          <w:bCs/>
          <w:color w:val="1A6B8A"/>
          <w:sz w:val="22"/>
          <w:szCs w:val="22"/>
        </w:rPr>
        <w:t xml:space="preserve">7.3.1 Cálculo de Fecha y Minuto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total_minutos = minuto_entrada + 666</w:t>
            </w:r>
          </w:p>
          <w:p>
            <w:pPr>
              <w:spacing w:before="0" w:after="0"/>
            </w:pPr>
            <w:r>
              <w:rPr>
                <w:rFonts w:ascii="Consolas" w:cs="Consolas" w:eastAsia="Consolas" w:hAnsi="Consolas"/>
                <w:color w:val="1E1E1E"/>
                <w:sz w:val="17"/>
                <w:szCs w:val="17"/>
              </w:rPr>
              <w:t xml:space="preserve">dias_adicionales = total_minutos // 390</w:t>
            </w:r>
          </w:p>
          <w:p>
            <w:pPr>
              <w:spacing w:before="0" w:after="0"/>
            </w:pPr>
            <w:r>
              <w:rPr>
                <w:rFonts w:ascii="Consolas" w:cs="Consolas" w:eastAsia="Consolas" w:hAnsi="Consolas"/>
                <w:color w:val="1E1E1E"/>
                <w:sz w:val="17"/>
                <w:szCs w:val="17"/>
              </w:rPr>
              <w:t xml:space="preserve">minuto_salida = total_minutos % 390</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fecha_salida = fecha_entrada</w:t>
            </w:r>
          </w:p>
          <w:p>
            <w:pPr>
              <w:spacing w:before="0" w:after="0"/>
            </w:pPr>
            <w:r>
              <w:rPr>
                <w:rFonts w:ascii="Consolas" w:cs="Consolas" w:eastAsia="Consolas" w:hAnsi="Consolas"/>
                <w:color w:val="1E1E1E"/>
                <w:sz w:val="17"/>
                <w:szCs w:val="17"/>
              </w:rPr>
              <w:t xml:space="preserve">contador_dias = 0</w:t>
            </w:r>
          </w:p>
          <w:p>
            <w:pPr>
              <w:spacing w:before="0" w:after="0"/>
            </w:pPr>
            <w:r>
              <w:rPr>
                <w:rFonts w:ascii="Consolas" w:cs="Consolas" w:eastAsia="Consolas" w:hAnsi="Consolas"/>
                <w:color w:val="1E1E1E"/>
                <w:sz w:val="17"/>
                <w:szCs w:val="17"/>
              </w:rPr>
              <w:t xml:space="preserve">MIENTRAS contador_dias &lt; dias_adicionales:</w:t>
            </w:r>
          </w:p>
          <w:p>
            <w:pPr>
              <w:spacing w:before="0" w:after="0"/>
            </w:pPr>
            <w:r>
              <w:rPr>
                <w:rFonts w:ascii="Consolas" w:cs="Consolas" w:eastAsia="Consolas" w:hAnsi="Consolas"/>
                <w:color w:val="1E1E1E"/>
                <w:sz w:val="17"/>
                <w:szCs w:val="17"/>
              </w:rPr>
              <w:t xml:space="preserve">    fecha_salida += 1 día</w:t>
            </w:r>
          </w:p>
          <w:p>
            <w:pPr>
              <w:spacing w:before="0" w:after="0"/>
            </w:pPr>
            <w:r>
              <w:rPr>
                <w:rFonts w:ascii="Consolas" w:cs="Consolas" w:eastAsia="Consolas" w:hAnsi="Consolas"/>
                <w:color w:val="1E1E1E"/>
                <w:sz w:val="17"/>
                <w:szCs w:val="17"/>
              </w:rPr>
              <w:t xml:space="preserve">    SI fecha_salida.es_dia_habil(): contador_dias += 1</w:t>
            </w:r>
          </w:p>
        </w:tc>
      </w:tr>
    </w:tbl>
    <w:p>
      <w:pPr>
        <w:pStyle w:val="Heading3"/>
        <w:spacing w:before="200" w:after="100"/>
      </w:pPr>
      <w:r>
        <w:t>7.3.2 Precio de Salida (Ejecución y Backtesting)</w:t>
      </w:r>
    </w:p>
    <w:p>
      <w:pPr>
        <w:pStyle w:val="Heading3"/>
      </w:pPr>
      <w:r>
        <w:t>Live: ejecutar la orden de salida en el minuto exacto de salida programado.</w:t>
      </w:r>
    </w:p>
    <w:p>
      <w:pPr>
        <w:pStyle w:val="Heading3"/>
      </w:pPr>
      <w:r>
        <w:t>Backtest validado: requiere datos intradía (1-5 min) para replicar minuto de salida y modelar slippage/costos.</w:t>
      </w:r>
    </w:p>
    <w:p>
      <w:pPr>
        <w:pStyle w:val="Heading3"/>
      </w:pPr>
      <w:r>
        <w:t>Backtest aproximado (solo datos diarios): no se considera validación formal; puede aproximarse con precios Open/Close del día de salida y debe etiquetarse como 'aproximado'.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r>
              <w:t>def estimar_precio_salida_aprox(datos_dia, minuto_salida):</w:t>
              <w:br/>
              <w:t xml:space="preserve">    open_p = datos_dia['Open']</w:t>
              <w:br/>
              <w:t xml:space="preserve">    high = datos_dia['High']</w:t>
              <w:br/>
              <w:t xml:space="preserve">    low = datos_dia['Low']</w:t>
              <w:br/>
              <w:t xml:space="preserve">    close = datos_dia['Close']</w:t>
              <w:br/>
              <w:br/>
              <w:t xml:space="preserve">    progreso = minuto_salida / 390</w:t>
              <w:br/>
              <w:t xml:space="preserve">    precio_base = open_p + (close - open_p) * progreso</w:t>
              <w:br/>
              <w:t xml:space="preserve">    RETURN max(low, min(high, precio_base))</w:t>
            </w:r>
          </w:p>
        </w:tc>
      </w:tr>
    </w:tbl>
    <w:p>
      <w:pPr>
        <w:pStyle w:val="Heading2"/>
        <w:spacing w:before="240" w:after="120"/>
      </w:pPr>
      <w:r>
        <w:rPr>
          <w:rFonts w:ascii="Arial" w:cs="Arial" w:eastAsia="Arial" w:hAnsi="Arial"/>
          <w:b/>
          <w:bCs/>
          <w:color w:val="1B2A4A"/>
          <w:sz w:val="26"/>
          <w:szCs w:val="26"/>
        </w:rPr>
        <w:t xml:space="preserve">7.4 Ejemplos de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Entrada</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Min. Entrada</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Min. Total</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Días Después</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Min. Salida</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Salida</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Lunes 9:30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666</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276</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Martes 14:06</w:t>
            </w:r>
          </w:p>
        </w:tc>
      </w:tr>
      <w:tr>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Lunes 10:00</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30</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696</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306</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Martes 14:36</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Lunes 15:00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330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996</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216</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Miércoles 13:06</w:t>
            </w:r>
          </w:p>
        </w:tc>
      </w:tr>
      <w:tr>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Viernes 9:30</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0</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666</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276</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Lunes 14:06</w:t>
            </w:r>
          </w:p>
        </w:tc>
      </w:tr>
    </w:tbl>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8</w:t>
      </w:r>
      <w:r>
        <w:rPr>
          <w:rFonts w:ascii="Arial" w:cs="Arial" w:eastAsia="Arial" w:hAnsi="Arial"/>
          <w:b/>
          <w:bCs/>
          <w:color w:val="1B2A4A"/>
          <w:sz w:val="32"/>
          <w:szCs w:val="32"/>
        </w:rPr>
        <w:t xml:space="preserve">  GESTIÓN DEL RIESGO</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8.1 Límites de Exposición</w:t>
      </w:r>
    </w:p>
    <w:p>
      <w:pPr>
        <w:pStyle w:val="Heading3"/>
        <w:spacing w:before="200" w:after="100"/>
      </w:pPr>
      <w:r>
        <w:rPr>
          <w:rFonts w:ascii="Arial" w:cs="Arial" w:eastAsia="Arial" w:hAnsi="Arial"/>
          <w:b/>
          <w:bCs/>
          <w:color w:val="1A6B8A"/>
          <w:sz w:val="22"/>
          <w:szCs w:val="22"/>
        </w:rPr>
        <w:t xml:space="preserve">8.1.1 Por 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MÁXIMO_POR_POSICIÓN = 20% del capital operable</w:t>
            </w:r>
          </w:p>
          <w:p>
            <w:pPr>
              <w:spacing w:before="0" w:after="0"/>
            </w:pPr>
            <w:r>
              <w:rPr>
                <w:rFonts w:ascii="Consolas" w:cs="Consolas" w:eastAsia="Consolas" w:hAnsi="Consolas"/>
                <w:color w:val="1E1E1E"/>
                <w:sz w:val="17"/>
                <w:szCs w:val="17"/>
              </w:rPr>
              <w:t xml:space="preserve">MÍNIMO_POR_POSICIÓN = $1,000 o 1% del capital, el mayor</w:t>
            </w:r>
          </w:p>
        </w:tc>
      </w:tr>
    </w:tbl>
    <w:p>
      <w:pPr>
        <w:pStyle w:val="Heading3"/>
        <w:spacing w:before="200" w:after="100"/>
      </w:pPr>
      <w:r>
        <w:rPr>
          <w:rFonts w:ascii="Arial" w:cs="Arial" w:eastAsia="Arial" w:hAnsi="Arial"/>
          <w:b/>
          <w:bCs/>
          <w:color w:val="1A6B8A"/>
          <w:sz w:val="22"/>
          <w:szCs w:val="22"/>
        </w:rPr>
        <w:t xml:space="preserve">8.1.2 Por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MÁXIMO_POR_SECTOR = 40% del capital operable</w:t>
            </w:r>
          </w:p>
        </w:tc>
      </w:tr>
    </w:tbl>
    <w:p>
      <w:pPr>
        <w:spacing w:before="60" w:after="60"/>
      </w:pPr>
    </w:p>
    <w:p>
      <w:pPr>
        <w:spacing w:before="60" w:after="60"/>
        <w:jc w:val="left"/>
      </w:pPr>
      <w:r>
        <w:t>Sectores a monitorear (GICS - 11 sectores):</w:t>
      </w:r>
    </w:p>
    <w:p>
      <w:pPr/>
      <w:r>
        <w:t>Energía (ej. XOM, CVX)</w:t>
      </w:r>
    </w:p>
    <w:p>
      <w:pPr/>
      <w:r>
        <w:t>Materiales (ej. LIN, APD)</w:t>
      </w:r>
    </w:p>
    <w:p>
      <w:pPr/>
      <w:r>
        <w:t>Industriales (ej. HON, CAT, UPS)</w:t>
      </w:r>
    </w:p>
    <w:p>
      <w:pPr/>
      <w:r>
        <w:t>Consumo discrecional (ej. AMZN, TSLA, NKE)</w:t>
      </w:r>
    </w:p>
    <w:p>
      <w:pPr/>
      <w:r>
        <w:t>Consumo básico (ej. PG, KO, WMT)</w:t>
      </w:r>
    </w:p>
    <w:p>
      <w:pPr/>
      <w:r>
        <w:t>Salud (ej. UNH, JNJ, ABT)</w:t>
      </w:r>
    </w:p>
    <w:p>
      <w:pPr/>
      <w:r>
        <w:t>Financieros (ej. JPM, BRK-B, BAC)</w:t>
      </w:r>
    </w:p>
    <w:p>
      <w:pPr/>
      <w:r>
        <w:t>Tecnología (ej. AAPL, MSFT, NVDA)</w:t>
      </w:r>
    </w:p>
    <w:p>
      <w:pPr/>
      <w:r>
        <w:t>Servicios de comunicación (ej. GOOGL, META, VZ)</w:t>
      </w:r>
    </w:p>
    <w:p>
      <w:pPr/>
      <w:r>
        <w:t>Utilities (ej. NEE, DUK)</w:t>
      </w:r>
    </w:p>
    <w:p>
      <w:pPr/>
      <w:r>
        <w:t>Real Estate (ej. PLD, AMT)</w:t>
      </w:r>
    </w:p>
    <w:p>
      <w:pPr>
        <w:pStyle w:val="Heading3"/>
        <w:spacing w:before="200" w:after="100"/>
      </w:pPr>
      <w:r>
        <w:rPr>
          <w:rFonts w:ascii="Arial" w:cs="Arial" w:eastAsia="Arial" w:hAnsi="Arial"/>
          <w:b/>
          <w:bCs/>
          <w:color w:val="1A6B8A"/>
          <w:sz w:val="22"/>
          <w:szCs w:val="22"/>
        </w:rPr>
        <w:t xml:space="preserve">8.1.3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CASH_MÍNIMO = 5% del capital total</w:t>
            </w:r>
          </w:p>
          <w:p>
            <w:pPr>
              <w:spacing w:before="0" w:after="0"/>
            </w:pPr>
            <w:r>
              <w:rPr>
                <w:rFonts w:ascii="Consolas" w:cs="Consolas" w:eastAsia="Consolas" w:hAnsi="Consolas"/>
                <w:color w:val="1E1E1E"/>
                <w:sz w:val="17"/>
                <w:szCs w:val="17"/>
              </w:rPr>
              <w:t xml:space="preserve">EXPOSICIÓN_MÁXIMA_NETA = 95% del capital total</w:t>
            </w:r>
          </w:p>
        </w:tc>
      </w:tr>
    </w:tbl>
    <w:p>
      <w:pPr>
        <w:pStyle w:val="Heading2"/>
        <w:spacing w:before="240" w:after="120"/>
      </w:pPr>
      <w:r>
        <w:rPr>
          <w:rFonts w:ascii="Arial" w:cs="Arial" w:eastAsia="Arial" w:hAnsi="Arial"/>
          <w:b/>
          <w:bCs/>
          <w:color w:val="1B2A4A"/>
          <w:sz w:val="26"/>
          <w:szCs w:val="26"/>
        </w:rPr>
        <w:t xml:space="preserve">8.2 Gestión de Volatilidad</w:t>
      </w:r>
    </w:p>
    <w:p>
      <w:pPr>
        <w:pStyle w:val="Heading3"/>
        <w:spacing w:before="200" w:after="100"/>
      </w:pPr>
      <w:r>
        <w:rPr>
          <w:rFonts w:ascii="Arial" w:cs="Arial" w:eastAsia="Arial" w:hAnsi="Arial"/>
          <w:b/>
          <w:bCs/>
          <w:color w:val="1A6B8A"/>
          <w:sz w:val="22"/>
          <w:szCs w:val="22"/>
        </w:rPr>
        <w:t xml:space="preserve">Ajustes por Volatilidad Elevada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Volatilidad del Portafolio</w:t>
            </w:r>
          </w:p>
        </w:tc>
        <w:tc>
          <w:tcPr>
            <w:tcW w:type="dxa" w:w="58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Acción</w:t>
            </w:r>
          </w:p>
        </w:tc>
      </w:tr>
      <w:tr>
        <w:tc>
          <w:tcPr>
            <w:tcW w:type="dxa" w:w="3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&lt; 15%</w:t>
            </w:r>
          </w:p>
        </w:tc>
        <w:tc>
          <w:tcPr>
            <w:tcW w:type="dxa" w:w="58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Operación normal</w:t>
            </w:r>
          </w:p>
        </w:tc>
      </w:tr>
      <w:tr>
        <w:tc>
          <w:tcPr>
            <w:tcW w:type="dxa" w:w="35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15% – 25%</w:t>
            </w:r>
          </w:p>
        </w:tc>
        <w:tc>
          <w:tcPr>
            <w:tcW w:type="dxa" w:w="58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Monitoreo aumentado</w:t>
            </w:r>
          </w:p>
        </w:tc>
      </w:tr>
      <w:tr>
        <w:tc>
          <w:tcPr>
            <w:tcW w:type="dxa" w:w="35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25% – 35%</w:t>
            </w:r>
          </w:p>
        </w:tc>
        <w:tc>
          <w:tcPr>
            <w:tcW w:type="dxa" w:w="58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Reducir tamaño de nuevas posiciones 20%</w:t>
            </w:r>
          </w:p>
        </w:tc>
      </w:tr>
      <w:tr>
        <w:tc>
          <w:tcPr>
            <w:tcW w:type="dxa" w:w="35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&gt; 35%</w:t>
            </w:r>
          </w:p>
        </w:tc>
        <w:tc>
          <w:tcPr>
            <w:tcW w:type="dxa" w:w="58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Pausar nuevas entradas, evaluar reducción general</w:t>
            </w:r>
          </w:p>
        </w:tc>
      </w:tr>
    </w:tbl>
    <w:p>
      <w:pPr>
        <w:pStyle w:val="Heading2"/>
        <w:spacing w:before="240" w:after="120"/>
      </w:pPr>
      <w:r>
        <w:rPr>
          <w:rFonts w:ascii="Arial" w:cs="Arial" w:eastAsia="Arial" w:hAnsi="Arial"/>
          <w:b/>
          <w:bCs/>
          <w:color w:val="1B2A4A"/>
          <w:sz w:val="26"/>
          <w:szCs w:val="26"/>
        </w:rPr>
        <w:t xml:space="preserve">8.3 Drawdown Controls</w:t>
      </w:r>
    </w:p>
    <w:p>
      <w:pPr>
        <w:pStyle w:val="Heading3"/>
        <w:spacing w:before="200" w:after="100"/>
      </w:pPr>
      <w:r>
        <w:rPr>
          <w:rFonts w:ascii="Arial" w:cs="Arial" w:eastAsia="Arial" w:hAnsi="Arial"/>
          <w:b/>
          <w:bCs/>
          <w:color w:val="1A6B8A"/>
          <w:sz w:val="22"/>
          <w:szCs w:val="22"/>
        </w:rPr>
        <w:t xml:space="preserve">Niveles de Drawdown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DD_NIVEL_1 = -10%   # Advertencia</w:t>
            </w:r>
          </w:p>
          <w:p>
            <w:pPr>
              <w:spacing w:before="0" w:after="0"/>
            </w:pPr>
            <w:r>
              <w:rPr>
                <w:rFonts w:ascii="Consolas" w:cs="Consolas" w:eastAsia="Consolas" w:hAnsi="Consolas"/>
                <w:color w:val="1E1E1E"/>
                <w:sz w:val="17"/>
                <w:szCs w:val="17"/>
              </w:rPr>
              <w:t xml:space="preserve">DD_NIVEL_2 = -20%   # Reducción de exposición</w:t>
            </w:r>
          </w:p>
          <w:p>
            <w:pPr>
              <w:spacing w:before="0" w:after="0"/>
            </w:pPr>
            <w:r>
              <w:rPr>
                <w:rFonts w:ascii="Consolas" w:cs="Consolas" w:eastAsia="Consolas" w:hAnsi="Consolas"/>
                <w:color w:val="1E1E1E"/>
                <w:sz w:val="17"/>
                <w:szCs w:val="17"/>
              </w:rPr>
              <w:t xml:space="preserve">DD_NIVEL_3 = -30%   # Pausa de nuevas posiciones</w:t>
            </w:r>
          </w:p>
          <w:p>
            <w:pPr>
              <w:spacing w:before="0" w:after="0"/>
            </w:pPr>
            <w:r>
              <w:rPr>
                <w:rFonts w:ascii="Consolas" w:cs="Consolas" w:eastAsia="Consolas" w:hAnsi="Consolas"/>
                <w:color w:val="1E1E1E"/>
                <w:sz w:val="17"/>
                <w:szCs w:val="17"/>
              </w:rPr>
              <w:t xml:space="preserve">DD_NIVEL_4 = -40%   # Reducción agresiva, revisión de estrategia</w:t>
            </w:r>
          </w:p>
        </w:tc>
      </w:tr>
    </w:tbl>
    <w:p>
      <w:pPr>
        <w:pStyle w:val="Heading3"/>
        <w:spacing w:before="200" w:after="100"/>
      </w:pPr>
      <w:r>
        <w:rPr>
          <w:rFonts w:ascii="Arial" w:cs="Arial" w:eastAsia="Arial" w:hAnsi="Arial"/>
          <w:b/>
          <w:bCs/>
          <w:color w:val="1A6B8A"/>
          <w:sz w:val="22"/>
          <w:szCs w:val="22"/>
        </w:rPr>
        <w:t xml:space="preserve">Acciones por Nivel</w:t>
      </w:r>
    </w:p>
    <w:p>
      <w:pPr>
        <w:spacing w:before="80" w:after="60"/>
      </w:pPr>
      <w:r>
        <w:rPr>
          <w:rFonts w:ascii="Arial" w:cs="Arial" w:eastAsia="Arial" w:hAnsi="Arial"/>
          <w:b/>
          <w:bCs/>
          <w:color w:val="1E1E1E"/>
          <w:sz w:val="21"/>
          <w:szCs w:val="21"/>
        </w:rPr>
        <w:t xml:space="preserve">Nivel 1 (–10%): </w:t>
      </w:r>
      <w:r>
        <w:rPr>
          <w:rFonts w:ascii="Arial" w:cs="Arial" w:eastAsia="Arial" w:hAnsi="Arial"/>
          <w:color w:val="1E1E1E"/>
          <w:sz w:val="21"/>
          <w:szCs w:val="21"/>
        </w:rPr>
        <w:t xml:space="preserve">Registrar evento en log. Aumentar frecuencia de monitoreo.</w:t>
      </w:r>
    </w:p>
    <w:p>
      <w:pPr>
        <w:spacing w:before="80" w:after="60"/>
      </w:pPr>
      <w:r>
        <w:rPr>
          <w:rFonts w:ascii="Arial" w:cs="Arial" w:eastAsia="Arial" w:hAnsi="Arial"/>
          <w:b/>
          <w:bCs/>
          <w:color w:val="1E1E1E"/>
          <w:sz w:val="21"/>
          <w:szCs w:val="21"/>
        </w:rPr>
        <w:t xml:space="preserve">Nivel 2 (–20%): </w:t>
      </w:r>
      <w:r>
        <w:rPr>
          <w:rFonts w:ascii="Arial" w:cs="Arial" w:eastAsia="Arial" w:hAnsi="Arial"/>
          <w:color w:val="1E1E1E"/>
          <w:sz w:val="21"/>
          <w:szCs w:val="21"/>
        </w:rPr>
        <w:t xml:space="preserve">Reducir tamaño de nuevas posiciones 25%. Aumentar cash objetivo a 10%. Revisar correlaciones del portafolio.</w:t>
      </w:r>
    </w:p>
    <w:p>
      <w:pPr>
        <w:spacing w:before="80" w:after="60"/>
      </w:pPr>
      <w:r>
        <w:rPr>
          <w:rFonts w:ascii="Arial" w:cs="Arial" w:eastAsia="Arial" w:hAnsi="Arial"/>
          <w:b/>
          <w:bCs/>
          <w:color w:val="1E1E1E"/>
          <w:sz w:val="21"/>
          <w:szCs w:val="21"/>
        </w:rPr>
        <w:t xml:space="preserve">Nivel 3 (–30%): </w:t>
      </w:r>
      <w:r>
        <w:rPr>
          <w:rFonts w:ascii="Arial" w:cs="Arial" w:eastAsia="Arial" w:hAnsi="Arial"/>
          <w:color w:val="1E1E1E"/>
          <w:sz w:val="21"/>
          <w:szCs w:val="21"/>
        </w:rPr>
        <w:t xml:space="preserve">Pausar todas las nuevas entradas. No cerrar posiciones existentes (sistema mecánico). Preparar análisis de estrategia.</w:t>
      </w:r>
    </w:p>
    <w:p>
      <w:pPr>
        <w:spacing w:before="80" w:after="60"/>
      </w:pPr>
      <w:r>
        <w:rPr>
          <w:rFonts w:ascii="Arial" w:cs="Arial" w:eastAsia="Arial" w:hAnsi="Arial"/>
          <w:b/>
          <w:bCs/>
          <w:color w:val="1E1E1E"/>
          <w:sz w:val="21"/>
          <w:szCs w:val="21"/>
        </w:rPr>
        <w:t xml:space="preserve">Nivel 4 (–40%): </w:t>
      </w:r>
      <w:r>
        <w:rPr>
          <w:rFonts w:ascii="Arial" w:cs="Arial" w:eastAsia="Arial" w:hAnsi="Arial"/>
          <w:color w:val="1E1E1E"/>
          <w:sz w:val="21"/>
          <w:szCs w:val="21"/>
        </w:rPr>
        <w:t xml:space="preserve">Reducir exposición a 50% del capital. Evaluar si el drawdown es sistémico o idiosincrático. Considerar pausa temporal.</w:t>
      </w:r>
    </w:p>
    <w:p>
      <w:pPr>
        <w:pStyle w:val="Heading2"/>
        <w:spacing w:before="240" w:after="120"/>
      </w:pPr>
      <w:r>
        <w:rPr>
          <w:rFonts w:ascii="Arial" w:cs="Arial" w:eastAsia="Arial" w:hAnsi="Arial"/>
          <w:b/>
          <w:bCs/>
          <w:color w:val="1B2A4A"/>
          <w:sz w:val="26"/>
          <w:szCs w:val="26"/>
        </w:rPr>
        <w:t xml:space="preserve">8.4 Reglas de No-Intervención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6"/>
              <w:bottom w:val="single" w:color="C53030" w:sz="1"/>
              <w:right w:val="single" w:color="C53030" w:sz="1"/>
            </w:tcBorders>
            <w:shd w:fill="FFF5F5" w:val="clear"/>
            <w:tcMar>
              <w:top w:type="dxa" w:w="120"/>
              <w:left w:type="dxa" w:w="200"/>
              <w:bottom w:type="dxa" w:w="120"/>
              <w:right w:type="dxa" w:w="200"/>
            </w:tcMar>
          </w:tcPr>
          <w:p>
            <w:pPr>
              <w:spacing w:before="0" w:after="0"/>
            </w:pPr>
            <w:r>
              <w:rPr>
                <w:rFonts w:ascii="Arial" w:cs="Arial" w:eastAsia="Arial" w:hAnsi="Arial"/>
                <w:b/>
                <w:bCs/>
                <w:color w:val="C53030"/>
                <w:sz w:val="22"/>
                <w:szCs w:val="22"/>
              </w:rPr>
              <w:t xml:space="preserve">NO se aplican stops de pérdida tradicionales.</w:t>
            </w:r>
          </w:p>
        </w:tc>
      </w:tr>
    </w:tbl>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Razones:</w:t>
      </w:r>
    </w:p>
    <w:p>
      <w:pPr>
        <w:pStyle w:val="ListParagraph"/>
        <w:numPr>
          <w:ilvl w:val="0"/>
          <w:numId w:val="3"/>
        </w:numPr>
        <w:spacing w:before="40" w:after="40"/>
      </w:pPr>
      <w:r>
        <w:rPr>
          <w:rFonts w:ascii="Arial" w:cs="Arial" w:eastAsia="Arial" w:hAnsi="Arial"/>
          <w:color w:val="1E1E1E"/>
          <w:sz w:val="21"/>
          <w:szCs w:val="21"/>
        </w:rPr>
        <w:t xml:space="preserve">El hold de 666 minutos es el mecanismo de control de riesgo</w:t>
      </w:r>
    </w:p>
    <w:p>
      <w:pPr>
        <w:pStyle w:val="ListParagraph"/>
        <w:numPr>
          <w:ilvl w:val="0"/>
          <w:numId w:val="3"/>
        </w:numPr>
        <w:spacing w:before="40" w:after="40"/>
      </w:pPr>
      <w:r>
        <w:rPr>
          <w:rFonts w:ascii="Arial" w:cs="Arial" w:eastAsia="Arial" w:hAnsi="Arial"/>
          <w:color w:val="1E1E1E"/>
          <w:sz w:val="21"/>
          <w:szCs w:val="21"/>
        </w:rPr>
        <w:t xml:space="preserve">Los stops pueden activarse por ruido de corto plazo</w:t>
      </w:r>
    </w:p>
    <w:p>
      <w:pPr>
        <w:pStyle w:val="ListParagraph"/>
        <w:numPr>
          <w:ilvl w:val="0"/>
          <w:numId w:val="3"/>
        </w:numPr>
        <w:spacing w:before="40" w:after="40"/>
      </w:pPr>
      <w:r>
        <w:rPr>
          <w:rFonts w:ascii="Arial" w:cs="Arial" w:eastAsia="Arial" w:hAnsi="Arial"/>
          <w:color w:val="1E1E1E"/>
          <w:sz w:val="21"/>
          <w:szCs w:val="21"/>
        </w:rPr>
        <w:t xml:space="preserve">El sizing por Risk Parity ya limita la exposición individual</w:t>
      </w:r>
    </w:p>
    <w:p>
      <w:pPr>
        <w:spacing w:before="60" w:after="60"/>
      </w:pPr>
    </w:p>
    <w:p>
      <w:pPr>
        <w:spacing w:before="60" w:after="60"/>
        <w:jc w:val="left"/>
      </w:pPr>
      <w:r>
        <w:rPr>
          <w:rFonts w:ascii="Arial" w:cs="Arial" w:eastAsia="Arial" w:hAnsi="Arial"/>
          <w:b/>
          <w:bCs/>
          <w:i w:val="false"/>
          <w:iCs w:val="false"/>
          <w:color w:val="1E1E1E"/>
          <w:sz w:val="21"/>
          <w:szCs w:val="21"/>
        </w:rPr>
        <w:t xml:space="preserve">Excepciones de emergencia (requieren aprobación manual):</w:t>
      </w:r>
    </w:p>
    <w:p>
      <w:pPr>
        <w:pStyle w:val="ListParagraph"/>
        <w:numPr>
          <w:ilvl w:val="0"/>
          <w:numId w:val="2"/>
        </w:numPr>
        <w:spacing w:before="40" w:after="40"/>
      </w:pPr>
      <w:r>
        <w:rPr>
          <w:rFonts w:ascii="Arial" w:cs="Arial" w:eastAsia="Arial" w:hAnsi="Arial"/>
          <w:color w:val="1E1E1E"/>
          <w:sz w:val="21"/>
          <w:szCs w:val="21"/>
        </w:rPr>
        <w:t xml:space="preserve">Caída &gt; 50% de una posición en un solo día</w:t>
      </w:r>
    </w:p>
    <w:p>
      <w:pPr>
        <w:pStyle w:val="ListParagraph"/>
        <w:numPr>
          <w:ilvl w:val="0"/>
          <w:numId w:val="2"/>
        </w:numPr>
        <w:spacing w:before="40" w:after="40"/>
      </w:pPr>
      <w:r>
        <w:rPr>
          <w:rFonts w:ascii="Arial" w:cs="Arial" w:eastAsia="Arial" w:hAnsi="Arial"/>
          <w:color w:val="1E1E1E"/>
          <w:sz w:val="21"/>
          <w:szCs w:val="21"/>
        </w:rPr>
        <w:t xml:space="preserve">Suspensión de trading del activo</w:t>
      </w:r>
    </w:p>
    <w:p>
      <w:pPr>
        <w:pStyle w:val="ListParagraph"/>
        <w:numPr>
          <w:ilvl w:val="0"/>
          <w:numId w:val="2"/>
        </w:numPr>
        <w:spacing w:before="40" w:after="40"/>
      </w:pPr>
      <w:r>
        <w:rPr>
          <w:rFonts w:ascii="Arial" w:cs="Arial" w:eastAsia="Arial" w:hAnsi="Arial"/>
          <w:color w:val="1E1E1E"/>
          <w:sz w:val="21"/>
          <w:szCs w:val="21"/>
        </w:rPr>
        <w:t xml:space="preserve">Evento corporativo no previsto (bankruptcy, fraud, etc.)</w:t>
      </w:r>
    </w:p>
    <w:p>
      <w:pPr>
        <w:pStyle w:val="ListParagraph"/>
      </w:pPr>
    </w:p>
    <w:p>
      <w:pPr>
        <w:pStyle w:val="ListParagraph"/>
      </w:pPr>
      <w:r>
        <w:t>8.5 Protocolo de Excepciones y Gobernanza</w:t>
      </w:r>
    </w:p>
    <w:p>
      <w:pPr>
        <w:pStyle w:val="ListParagraph"/>
      </w:pPr>
      <w:r>
        <w:t>Objetivo: permitir intervención solo cuando sea necesaria para preservar continuidad operativa, cumplimiento legal/regulatorio o ante eventos extremos definidos.</w:t>
      </w:r>
    </w:p>
    <w:p>
      <w:pPr>
        <w:pStyle w:val="ListParagraph"/>
      </w:pPr>
      <w:r>
        <w:t>Disparadores (no exhaustivo): caídas intradía &gt; 50%, suspensión de trading, fraude/bankruptcy, fallo técnico que impida ejecutar salidas.</w:t>
      </w:r>
    </w:p>
    <w:p>
      <w:pPr>
        <w:pStyle w:val="ListParagraph"/>
      </w:pPr>
      <w:r>
        <w:t>Acciones permitidas: (a) pausar nuevas entradas, (b) reducir exposición de forma pro-rata por riesgo, (c) cerrar manualmente una posición solo si el evento invalida la hipótesis del sistema para ese activo.</w:t>
      </w:r>
    </w:p>
    <w:p>
      <w:pPr>
        <w:pStyle w:val="ListParagraph"/>
      </w:pPr>
      <w:r>
        <w:t>Aprobación mínima: 2 personas (operador + responsable de riesgo). Si no es posible, una sola aprobación debe documentarse y revisarse post-mortem en 24h.</w:t>
      </w:r>
    </w:p>
    <w:p>
      <w:pPr>
        <w:pStyle w:val="ListParagraph"/>
      </w:pPr>
      <w:r>
        <w:t>Registro obligatorio: timestamp, evidencia (noticia/comunicado), decisión, acción ejecutada, y plan de retorno a operación normal.</w:t>
      </w:r>
    </w:p>
    <w:p>
      <w:pPr>
        <w:pStyle w:val="ListParagraph"/>
      </w:pPr>
      <w:r>
        <w:t>Post-mortem: dentro de 72h, documentar causa raíz y si corresponde actualizar criterios, universo o modelos (versionado según 2.3).</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9</w:t>
      </w:r>
      <w:r>
        <w:rPr>
          <w:rFonts w:ascii="Arial" w:cs="Arial" w:eastAsia="Arial" w:hAnsi="Arial"/>
          <w:b/>
          <w:bCs/>
          <w:color w:val="1B2A4A"/>
          <w:sz w:val="32"/>
          <w:szCs w:val="32"/>
        </w:rPr>
        <w:t xml:space="preserve">  REBALANCEO Y MANTENIMIENTO</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9.1 Calendario de Rebalanceo</w:t>
      </w:r>
    </w:p>
    <w:p>
      <w:pPr>
        <w:spacing w:before="80" w:after="60"/>
      </w:pPr>
      <w:r>
        <w:rPr>
          <w:rFonts w:ascii="Arial" w:cs="Arial" w:eastAsia="Arial" w:hAnsi="Arial"/>
          <w:b/>
          <w:bCs/>
          <w:color w:val="1E1E1E"/>
          <w:sz w:val="21"/>
          <w:szCs w:val="21"/>
        </w:rPr>
        <w:t xml:space="preserve">Frecuencia: </w:t>
      </w:r>
      <w:r>
        <w:rPr>
          <w:rFonts w:ascii="Arial" w:cs="Arial" w:eastAsia="Arial" w:hAnsi="Arial"/>
          <w:color w:val="1E1E1E"/>
          <w:sz w:val="21"/>
          <w:szCs w:val="21"/>
        </w:rPr>
        <w:t xml:space="preserve">Cada 21 días hábiles (~mensual)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Mes</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Día Hábil</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Mes</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Día Hábil</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Enero</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Julio</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12</w:t>
            </w:r>
          </w:p>
        </w:tc>
      </w:tr>
      <w:tr>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Febrero</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24</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Agosto</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9</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Marzo</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21</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Septiembre</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w:t>
            </w:r>
          </w:p>
        </w:tc>
      </w:tr>
      <w:tr>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Abril</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18</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Octubre</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Mayo</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15</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Noviembre</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w:t>
            </w:r>
          </w:p>
        </w:tc>
      </w:tr>
      <w:tr>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Junio</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12</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Diciembre</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w:t>
            </w:r>
          </w:p>
        </w:tc>
      </w:tr>
    </w:tbl>
    <w:p>
      <w:pPr>
        <w:pStyle w:val="Heading2"/>
        <w:spacing w:before="240" w:after="120"/>
      </w:pPr>
      <w:r>
        <w:rPr>
          <w:rFonts w:ascii="Arial" w:cs="Arial" w:eastAsia="Arial" w:hAnsi="Arial"/>
          <w:b/>
          <w:bCs/>
          <w:color w:val="1B2A4A"/>
          <w:sz w:val="26"/>
          <w:szCs w:val="26"/>
        </w:rPr>
        <w:t xml:space="preserve">9.2 Proceso de Rebalanceo</w:t>
      </w:r>
    </w:p>
    <w:p>
      <w:pPr>
        <w:pStyle w:val="Heading3"/>
        <w:spacing w:before="200" w:after="100"/>
      </w:pPr>
      <w:r>
        <w:rPr>
          <w:rFonts w:ascii="Arial" w:cs="Arial" w:eastAsia="Arial" w:hAnsi="Arial"/>
          <w:b/>
          <w:bCs/>
          <w:color w:val="1A6B8A"/>
          <w:sz w:val="22"/>
          <w:szCs w:val="22"/>
        </w:rPr>
        <w:t xml:space="preserve">Paso 1: Cierre de Ciclo Anterior</w:t>
      </w:r>
    </w:p>
    <w:p>
      <w:pPr>
        <w:pStyle w:val="ListParagraph"/>
        <w:numPr>
          <w:ilvl w:val="0"/>
          <w:numId w:val="3"/>
        </w:numPr>
        <w:spacing w:before="40" w:after="40"/>
      </w:pPr>
      <w:r>
        <w:rPr>
          <w:rFonts w:ascii="Arial" w:cs="Arial" w:eastAsia="Arial" w:hAnsi="Arial"/>
          <w:color w:val="1E1E1E"/>
          <w:sz w:val="21"/>
          <w:szCs w:val="21"/>
        </w:rPr>
        <w:t xml:space="preserve">Permitir que todas las posiciones con exit_date = hoy cierren normalmente</w:t>
      </w:r>
    </w:p>
    <w:p>
      <w:pPr>
        <w:pStyle w:val="ListParagraph"/>
        <w:numPr>
          <w:ilvl w:val="0"/>
          <w:numId w:val="3"/>
        </w:numPr>
        <w:spacing w:before="40" w:after="40"/>
      </w:pPr>
      <w:r>
        <w:rPr>
          <w:rFonts w:ascii="Arial" w:cs="Arial" w:eastAsia="Arial" w:hAnsi="Arial"/>
          <w:color w:val="1E1E1E"/>
          <w:sz w:val="21"/>
          <w:szCs w:val="21"/>
        </w:rPr>
        <w:t xml:space="preserve">Calcular P&amp;L del período</w:t>
      </w:r>
    </w:p>
    <w:p>
      <w:pPr>
        <w:pStyle w:val="ListParagraph"/>
        <w:numPr>
          <w:ilvl w:val="0"/>
          <w:numId w:val="3"/>
        </w:numPr>
        <w:spacing w:before="40" w:after="40"/>
      </w:pPr>
      <w:r>
        <w:rPr>
          <w:rFonts w:ascii="Arial" w:cs="Arial" w:eastAsia="Arial" w:hAnsi="Arial"/>
          <w:color w:val="1E1E1E"/>
          <w:sz w:val="21"/>
          <w:szCs w:val="21"/>
        </w:rPr>
        <w:t xml:space="preserve">Actualizar capital disponible</w:t>
      </w:r>
    </w:p>
    <w:p>
      <w:pPr>
        <w:pStyle w:val="Heading3"/>
        <w:spacing w:before="200" w:after="100"/>
      </w:pPr>
      <w:r>
        <w:rPr>
          <w:rFonts w:ascii="Arial" w:cs="Arial" w:eastAsia="Arial" w:hAnsi="Arial"/>
          <w:b/>
          <w:bCs/>
          <w:color w:val="1A6B8A"/>
          <w:sz w:val="22"/>
          <w:szCs w:val="22"/>
        </w:rPr>
        <w:t xml:space="preserve">Paso 2: Recálculo de Scores</w:t>
      </w:r>
    </w:p>
    <w:p>
      <w:pPr>
        <w:pStyle w:val="ListParagraph"/>
        <w:numPr>
          <w:ilvl w:val="0"/>
          <w:numId w:val="3"/>
        </w:numPr>
        <w:spacing w:before="40" w:after="40"/>
      </w:pPr>
      <w:r>
        <w:rPr>
          <w:rFonts w:ascii="Arial" w:cs="Arial" w:eastAsia="Arial" w:hAnsi="Arial"/>
          <w:color w:val="1E1E1E"/>
          <w:sz w:val="21"/>
          <w:szCs w:val="21"/>
        </w:rPr>
        <w:t xml:space="preserve">Descargar datos fundamentales actualizados</w:t>
      </w:r>
    </w:p>
    <w:p>
      <w:pPr>
        <w:pStyle w:val="ListParagraph"/>
        <w:numPr>
          <w:ilvl w:val="0"/>
          <w:numId w:val="3"/>
        </w:numPr>
        <w:spacing w:before="40" w:after="40"/>
      </w:pPr>
      <w:r>
        <w:rPr>
          <w:rFonts w:ascii="Arial" w:cs="Arial" w:eastAsia="Arial" w:hAnsi="Arial"/>
          <w:color w:val="1E1E1E"/>
          <w:sz w:val="21"/>
          <w:szCs w:val="21"/>
        </w:rPr>
        <w:t xml:space="preserve">Calcular Value, Quality, Momentum y Composite Score para todo el universo</w:t>
      </w:r>
    </w:p>
    <w:p>
      <w:pPr>
        <w:pStyle w:val="Heading3"/>
        <w:spacing w:before="200" w:after="100"/>
      </w:pPr>
      <w:r>
        <w:rPr>
          <w:rFonts w:ascii="Arial" w:cs="Arial" w:eastAsia="Arial" w:hAnsi="Arial"/>
          <w:b/>
          <w:bCs/>
          <w:color w:val="1A6B8A"/>
          <w:sz w:val="22"/>
          <w:szCs w:val="22"/>
        </w:rPr>
        <w:t xml:space="preserve">Paso 3: Nueva Selección</w:t>
      </w:r>
    </w:p>
    <w:p>
      <w:pPr>
        <w:pStyle w:val="ListParagraph"/>
        <w:numPr>
          <w:ilvl w:val="0"/>
          <w:numId w:val="3"/>
        </w:numPr>
        <w:spacing w:before="40" w:after="40"/>
      </w:pPr>
      <w:r>
        <w:rPr>
          <w:rFonts w:ascii="Arial" w:cs="Arial" w:eastAsia="Arial" w:hAnsi="Arial"/>
          <w:color w:val="1E1E1E"/>
          <w:sz w:val="21"/>
          <w:szCs w:val="21"/>
        </w:rPr>
        <w:t xml:space="preserve">Ordenar universo por Composite Score</w:t>
      </w:r>
    </w:p>
    <w:p>
      <w:pPr>
        <w:pStyle w:val="ListParagraph"/>
        <w:numPr>
          <w:ilvl w:val="0"/>
          <w:numId w:val="3"/>
        </w:numPr>
        <w:spacing w:before="40" w:after="40"/>
      </w:pPr>
      <w:r>
        <w:rPr>
          <w:rFonts w:ascii="Arial" w:cs="Arial" w:eastAsia="Arial" w:hAnsi="Arial"/>
          <w:color w:val="1E1E1E"/>
          <w:sz w:val="21"/>
          <w:szCs w:val="21"/>
        </w:rPr>
        <w:t xml:space="preserve">Seleccionar top 10 símbolos</w:t>
      </w:r>
    </w:p>
    <w:p>
      <w:pPr>
        <w:pStyle w:val="ListParagraph"/>
        <w:numPr>
          <w:ilvl w:val="0"/>
          <w:numId w:val="3"/>
        </w:numPr>
        <w:spacing w:before="40" w:after="40"/>
      </w:pPr>
      <w:r>
        <w:rPr>
          <w:rFonts w:ascii="Arial" w:cs="Arial" w:eastAsia="Arial" w:hAnsi="Arial"/>
          <w:color w:val="1E1E1E"/>
          <w:sz w:val="21"/>
          <w:szCs w:val="21"/>
        </w:rPr>
        <w:t xml:space="preserve">Comparar con selección anterior e identificar entradas/salidas</w:t>
      </w:r>
    </w:p>
    <w:p>
      <w:pPr>
        <w:pStyle w:val="Heading3"/>
        <w:spacing w:before="200" w:after="100"/>
      </w:pPr>
      <w:r>
        <w:rPr>
          <w:rFonts w:ascii="Arial" w:cs="Arial" w:eastAsia="Arial" w:hAnsi="Arial"/>
          <w:b/>
          <w:bCs/>
          <w:color w:val="1A6B8A"/>
          <w:sz w:val="22"/>
          <w:szCs w:val="22"/>
        </w:rPr>
        <w:t xml:space="preserve">Paso 4: Cálculo de Nuevos Pesos</w:t>
      </w:r>
    </w:p>
    <w:p>
      <w:pPr>
        <w:pStyle w:val="ListParagraph"/>
        <w:numPr>
          <w:ilvl w:val="0"/>
          <w:numId w:val="3"/>
        </w:numPr>
        <w:spacing w:before="40" w:after="40"/>
      </w:pPr>
      <w:r>
        <w:rPr>
          <w:rFonts w:ascii="Arial" w:cs="Arial" w:eastAsia="Arial" w:hAnsi="Arial"/>
          <w:color w:val="1E1E1E"/>
          <w:sz w:val="21"/>
          <w:szCs w:val="21"/>
        </w:rPr>
        <w:t xml:space="preserve">Calcular volatilidad de 20 días para seleccionados</w:t>
      </w:r>
    </w:p>
    <w:p>
      <w:pPr>
        <w:pStyle w:val="ListParagraph"/>
        <w:numPr>
          <w:ilvl w:val="0"/>
          <w:numId w:val="3"/>
        </w:numPr>
        <w:spacing w:before="40" w:after="40"/>
      </w:pPr>
      <w:r>
        <w:rPr>
          <w:rFonts w:ascii="Arial" w:cs="Arial" w:eastAsia="Arial" w:hAnsi="Arial"/>
          <w:color w:val="1E1E1E"/>
          <w:sz w:val="21"/>
          <w:szCs w:val="21"/>
        </w:rPr>
        <w:t xml:space="preserve">Calcular pesos por Risk Parity</w:t>
      </w:r>
    </w:p>
    <w:p>
      <w:pPr>
        <w:pStyle w:val="ListParagraph"/>
        <w:numPr>
          <w:ilvl w:val="0"/>
          <w:numId w:val="3"/>
        </w:numPr>
        <w:spacing w:before="40" w:after="40"/>
      </w:pPr>
      <w:r>
        <w:rPr>
          <w:rFonts w:ascii="Arial" w:cs="Arial" w:eastAsia="Arial" w:hAnsi="Arial"/>
          <w:color w:val="1E1E1E"/>
          <w:sz w:val="21"/>
          <w:szCs w:val="21"/>
        </w:rPr>
        <w:t xml:space="preserve">Verificar límites de posición (max 20%) y ajustar si es necesario</w:t>
      </w:r>
    </w:p>
    <w:p>
      <w:pPr>
        <w:pStyle w:val="Heading3"/>
        <w:spacing w:before="200" w:after="100"/>
      </w:pPr>
      <w:r>
        <w:rPr>
          <w:rFonts w:ascii="Arial" w:cs="Arial" w:eastAsia="Arial" w:hAnsi="Arial"/>
          <w:b/>
          <w:bCs/>
          <w:color w:val="1A6B8A"/>
          <w:sz w:val="22"/>
          <w:szCs w:val="22"/>
        </w:rPr>
        <w:t xml:space="preserve">Paso 5: Ejecución de Cambios</w:t>
      </w:r>
    </w:p>
    <w:p>
      <w:pPr>
        <w:spacing w:before="80" w:after="60"/>
      </w:pPr>
      <w:r>
        <w:rPr>
          <w:rFonts w:ascii="Arial" w:cs="Arial" w:eastAsia="Arial" w:hAnsi="Arial"/>
          <w:b/>
          <w:bCs/>
          <w:color w:val="1E1E1E"/>
          <w:sz w:val="21"/>
          <w:szCs w:val="21"/>
        </w:rPr>
        <w:t xml:space="preserve">Símbolos que salen: </w:t>
      </w:r>
      <w:r>
        <w:rPr>
          <w:rFonts w:ascii="Arial" w:cs="Arial" w:eastAsia="Arial" w:hAnsi="Arial"/>
          <w:color w:val="1E1E1E"/>
          <w:sz w:val="21"/>
          <w:szCs w:val="21"/>
        </w:rPr>
        <w:t xml:space="preserve">No abrir nuevas posiciones. Permitir que posiciones existentes cierren por tiempo.</w:t>
      </w:r>
    </w:p>
    <w:p>
      <w:pPr>
        <w:spacing w:before="80" w:after="60"/>
      </w:pPr>
      <w:r>
        <w:rPr>
          <w:rFonts w:ascii="Arial" w:cs="Arial" w:eastAsia="Arial" w:hAnsi="Arial"/>
          <w:b/>
          <w:bCs/>
          <w:color w:val="1E1E1E"/>
          <w:sz w:val="21"/>
          <w:szCs w:val="21"/>
        </w:rPr>
        <w:t xml:space="preserve">Símbolos que entran: </w:t>
      </w:r>
      <w:r>
        <w:rPr>
          <w:rFonts w:ascii="Arial" w:cs="Arial" w:eastAsia="Arial" w:hAnsi="Arial"/>
          <w:color w:val="1E1E1E"/>
          <w:sz w:val="21"/>
          <w:szCs w:val="21"/>
        </w:rPr>
        <w:t xml:space="preserve">Iniciar acumulación durante el mes. Respetar límites de posición.</w:t>
      </w:r>
    </w:p>
    <w:p>
      <w:pPr>
        <w:spacing w:before="80" w:after="60"/>
      </w:pPr>
      <w:r>
        <w:rPr>
          <w:rFonts w:ascii="Arial" w:cs="Arial" w:eastAsia="Arial" w:hAnsi="Arial"/>
          <w:b/>
          <w:bCs/>
          <w:color w:val="1E1E1E"/>
          <w:sz w:val="21"/>
          <w:szCs w:val="21"/>
        </w:rPr>
        <w:t xml:space="preserve">Símbolos que permanecen: </w:t>
      </w:r>
      <w:r>
        <w:rPr>
          <w:rFonts w:ascii="Arial" w:cs="Arial" w:eastAsia="Arial" w:hAnsi="Arial"/>
          <w:color w:val="1E1E1E"/>
          <w:sz w:val="21"/>
          <w:szCs w:val="21"/>
        </w:rPr>
        <w:t xml:space="preserve">Ajustar sizing si el peso cambió significativamente (&gt;5%).</w:t>
      </w:r>
    </w:p>
    <w:p>
      <w:pPr>
        <w:pStyle w:val="Heading2"/>
        <w:spacing w:before="240" w:after="120"/>
      </w:pPr>
      <w:r>
        <w:rPr>
          <w:rFonts w:ascii="Arial" w:cs="Arial" w:eastAsia="Arial" w:hAnsi="Arial"/>
          <w:b/>
          <w:bCs/>
          <w:color w:val="1B2A4A"/>
          <w:sz w:val="26"/>
          <w:szCs w:val="26"/>
        </w:rPr>
        <w:t xml:space="preserve">9.3 Transición Suave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8F1F5" w:val="clear"/>
            <w:tcMar>
              <w:top w:type="dxa" w:w="120"/>
              <w:left w:type="dxa" w:w="200"/>
              <w:bottom w:type="dxa" w:w="120"/>
              <w:right w:type="dxa" w:w="200"/>
            </w:tcMar>
          </w:tcPr>
          <w:p>
            <w:pPr>
              <w:spacing w:before="0" w:after="0"/>
            </w:pPr>
            <w:r>
              <w:rPr>
                <w:rFonts w:ascii="Arial" w:cs="Arial" w:eastAsia="Arial" w:hAnsi="Arial"/>
                <w:b/>
                <w:bCs/>
                <w:color w:val="1B2A4A"/>
                <w:sz w:val="22"/>
                <w:szCs w:val="22"/>
              </w:rPr>
              <w:t xml:space="preserve">Nunca se cierran posiciones anticipadamente por rebalanceo.</w:t>
            </w:r>
          </w:p>
        </w:tc>
      </w:tr>
    </w:tbl>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Las posiciones existentes se mantienen hasta su fecha natural de cierre (666 minutos), incluso si el símbolo ya no está en la selección mensual. Esto evita costos de transacción innecesarios, realización de pérdidas por pánico, e interferencia con el edge del timing.</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10</w:t>
      </w:r>
      <w:r>
        <w:rPr>
          <w:rFonts w:ascii="Arial" w:cs="Arial" w:eastAsia="Arial" w:hAnsi="Arial"/>
          <w:b/>
          <w:bCs/>
          <w:color w:val="1B2A4A"/>
          <w:sz w:val="32"/>
          <w:szCs w:val="32"/>
        </w:rPr>
        <w:t xml:space="preserve">  PROCEDIMIENTOS OPERATIVOS</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10.1 Pre-Mercado (8:00 AM – 9:30 AM ET)</w:t>
      </w:r>
    </w:p>
    <w:p>
      <w:pPr>
        <w:pStyle w:val="Heading3"/>
        <w:spacing w:before="200" w:after="100"/>
      </w:pPr>
      <w:r>
        <w:rPr>
          <w:rFonts w:ascii="Arial" w:cs="Arial" w:eastAsia="Arial" w:hAnsi="Arial"/>
          <w:b/>
          <w:bCs/>
          <w:color w:val="1A6B8A"/>
          <w:sz w:val="22"/>
          <w:szCs w:val="22"/>
        </w:rPr>
        <w:t xml:space="preserve">Tareas Diarias</w:t>
      </w:r>
    </w:p>
    <w:p>
      <w:pPr>
        <w:pStyle w:val="ListParagraph"/>
        <w:numPr>
          <w:ilvl w:val="0"/>
          <w:numId w:val="4"/>
        </w:numPr>
        <w:spacing w:before="30" w:after="30"/>
      </w:pPr>
      <w:r>
        <w:rPr>
          <w:rFonts w:ascii="Arial" w:cs="Arial" w:eastAsia="Arial" w:hAnsi="Arial"/>
          <w:color w:val="1E1E1E"/>
          <w:sz w:val="20"/>
          <w:szCs w:val="20"/>
        </w:rPr>
        <w:t xml:space="preserve">Verificar que todos los sistemas están operativos</w:t>
      </w:r>
    </w:p>
    <w:p>
      <w:pPr>
        <w:pStyle w:val="ListParagraph"/>
        <w:numPr>
          <w:ilvl w:val="0"/>
          <w:numId w:val="4"/>
        </w:numPr>
        <w:spacing w:before="30" w:after="30"/>
      </w:pPr>
      <w:r>
        <w:rPr>
          <w:rFonts w:ascii="Arial" w:cs="Arial" w:eastAsia="Arial" w:hAnsi="Arial"/>
          <w:color w:val="1E1E1E"/>
          <w:sz w:val="20"/>
          <w:szCs w:val="20"/>
        </w:rPr>
        <w:t xml:space="preserve">Descargar datos de cierre del día anterior</w:t>
      </w:r>
    </w:p>
    <w:p>
      <w:pPr>
        <w:pStyle w:val="ListParagraph"/>
        <w:numPr>
          <w:ilvl w:val="0"/>
          <w:numId w:val="4"/>
        </w:numPr>
        <w:spacing w:before="30" w:after="30"/>
      </w:pPr>
      <w:r>
        <w:rPr>
          <w:rFonts w:ascii="Arial" w:cs="Arial" w:eastAsia="Arial" w:hAnsi="Arial"/>
          <w:color w:val="1E1E1E"/>
          <w:sz w:val="20"/>
          <w:szCs w:val="20"/>
        </w:rPr>
        <w:t xml:space="preserve">Actualizar precios y volatilidades</w:t>
      </w:r>
    </w:p>
    <w:p>
      <w:pPr>
        <w:pStyle w:val="ListParagraph"/>
        <w:numPr>
          <w:ilvl w:val="0"/>
          <w:numId w:val="4"/>
        </w:numPr>
        <w:spacing w:before="30" w:after="30"/>
      </w:pPr>
      <w:r>
        <w:rPr>
          <w:rFonts w:ascii="Arial" w:cs="Arial" w:eastAsia="Arial" w:hAnsi="Arial"/>
          <w:color w:val="1E1E1E"/>
          <w:sz w:val="20"/>
          <w:szCs w:val="20"/>
        </w:rPr>
        <w:t xml:space="preserve">Calcular valor del portafolio</w:t>
      </w:r>
    </w:p>
    <w:p>
      <w:pPr>
        <w:pStyle w:val="ListParagraph"/>
        <w:numPr>
          <w:ilvl w:val="0"/>
          <w:numId w:val="4"/>
        </w:numPr>
        <w:spacing w:before="30" w:after="30"/>
      </w:pPr>
      <w:r>
        <w:rPr>
          <w:rFonts w:ascii="Arial" w:cs="Arial" w:eastAsia="Arial" w:hAnsi="Arial"/>
          <w:color w:val="1E1E1E"/>
          <w:sz w:val="20"/>
          <w:szCs w:val="20"/>
        </w:rPr>
        <w:t xml:space="preserve">Identificar posiciones que expiran hoy</w:t>
      </w:r>
    </w:p>
    <w:p>
      <w:pPr>
        <w:pStyle w:val="ListParagraph"/>
        <w:numPr>
          <w:ilvl w:val="0"/>
          <w:numId w:val="4"/>
        </w:numPr>
        <w:spacing w:before="30" w:after="30"/>
      </w:pPr>
      <w:r>
        <w:rPr>
          <w:rFonts w:ascii="Arial" w:cs="Arial" w:eastAsia="Arial" w:hAnsi="Arial"/>
          <w:color w:val="1E1E1E"/>
          <w:sz w:val="20"/>
          <w:szCs w:val="20"/>
        </w:rPr>
        <w:t xml:space="preserve">Preparar órdenes de entrada para nuevas posiciones</w:t>
      </w:r>
    </w:p>
    <w:p>
      <w:pPr>
        <w:pStyle w:val="ListParagraph"/>
        <w:numPr>
          <w:ilvl w:val="0"/>
          <w:numId w:val="4"/>
        </w:numPr>
        <w:spacing w:before="30" w:after="30"/>
      </w:pPr>
      <w:r>
        <w:rPr>
          <w:rFonts w:ascii="Arial" w:cs="Arial" w:eastAsia="Arial" w:hAnsi="Arial"/>
          <w:color w:val="1E1E1E"/>
          <w:sz w:val="20"/>
          <w:szCs w:val="20"/>
        </w:rPr>
        <w:t xml:space="preserve">Revisar noticias corporativas de símbolos en cartera</w:t>
      </w:r>
    </w:p>
    <w:p>
      <w:pPr>
        <w:pStyle w:val="Heading3"/>
        <w:spacing w:before="200" w:after="100"/>
      </w:pPr>
      <w:r>
        <w:rPr>
          <w:rFonts w:ascii="Arial" w:cs="Arial" w:eastAsia="Arial" w:hAnsi="Arial"/>
          <w:b/>
          <w:bCs/>
          <w:color w:val="1A6B8A"/>
          <w:sz w:val="22"/>
          <w:szCs w:val="22"/>
        </w:rPr>
        <w:t xml:space="preserve">Checklist de Sistemas</w:t>
      </w:r>
    </w:p>
    <w:p>
      <w:pPr>
        <w:pStyle w:val="ListParagraph"/>
        <w:numPr>
          <w:ilvl w:val="0"/>
          <w:numId w:val="4"/>
        </w:numPr>
        <w:spacing w:before="30" w:after="30"/>
      </w:pPr>
      <w:r>
        <w:rPr>
          <w:rFonts w:ascii="Arial" w:cs="Arial" w:eastAsia="Arial" w:hAnsi="Arial"/>
          <w:color w:val="1E1E1E"/>
          <w:sz w:val="20"/>
          <w:szCs w:val="20"/>
        </w:rPr>
        <w:t xml:space="preserve">Conexión a broker/API operativa</w:t>
      </w:r>
    </w:p>
    <w:p>
      <w:pPr>
        <w:pStyle w:val="ListParagraph"/>
        <w:numPr>
          <w:ilvl w:val="0"/>
          <w:numId w:val="4"/>
        </w:numPr>
        <w:spacing w:before="30" w:after="30"/>
      </w:pPr>
      <w:r>
        <w:rPr>
          <w:rFonts w:ascii="Arial" w:cs="Arial" w:eastAsia="Arial" w:hAnsi="Arial"/>
          <w:color w:val="1E1E1E"/>
          <w:sz w:val="20"/>
          <w:szCs w:val="20"/>
        </w:rPr>
        <w:t xml:space="preserve">Feed de datos en tiempo real activo</w:t>
      </w:r>
    </w:p>
    <w:p>
      <w:pPr>
        <w:pStyle w:val="ListParagraph"/>
        <w:numPr>
          <w:ilvl w:val="0"/>
          <w:numId w:val="4"/>
        </w:numPr>
        <w:spacing w:before="30" w:after="30"/>
      </w:pPr>
      <w:r>
        <w:rPr>
          <w:rFonts w:ascii="Arial" w:cs="Arial" w:eastAsia="Arial" w:hAnsi="Arial"/>
          <w:color w:val="1E1E1E"/>
          <w:sz w:val="20"/>
          <w:szCs w:val="20"/>
        </w:rPr>
        <w:t xml:space="preserve">Sistema de logging funcionando</w:t>
      </w:r>
    </w:p>
    <w:p>
      <w:pPr>
        <w:pStyle w:val="ListParagraph"/>
        <w:numPr>
          <w:ilvl w:val="0"/>
          <w:numId w:val="4"/>
        </w:numPr>
        <w:spacing w:before="30" w:after="30"/>
      </w:pPr>
      <w:r>
        <w:rPr>
          <w:rFonts w:ascii="Arial" w:cs="Arial" w:eastAsia="Arial" w:hAnsi="Arial"/>
          <w:color w:val="1E1E1E"/>
          <w:sz w:val="20"/>
          <w:szCs w:val="20"/>
        </w:rPr>
        <w:t xml:space="preserve">Backups automáticos confirmados</w:t>
      </w:r>
    </w:p>
    <w:p>
      <w:pPr>
        <w:pStyle w:val="ListParagraph"/>
        <w:numPr>
          <w:ilvl w:val="0"/>
          <w:numId w:val="4"/>
        </w:numPr>
        <w:spacing w:before="30" w:after="30"/>
      </w:pPr>
      <w:r>
        <w:rPr>
          <w:rFonts w:ascii="Arial" w:cs="Arial" w:eastAsia="Arial" w:hAnsi="Arial"/>
          <w:color w:val="1E1E1E"/>
          <w:sz w:val="20"/>
          <w:szCs w:val="20"/>
        </w:rPr>
        <w:t xml:space="preserve">Alertas configuradas y activas</w:t>
      </w:r>
    </w:p>
    <w:p>
      <w:pPr>
        <w:pStyle w:val="Heading2"/>
        <w:spacing w:before="240" w:after="120"/>
      </w:pPr>
      <w:r>
        <w:rPr>
          <w:rFonts w:ascii="Arial" w:cs="Arial" w:eastAsia="Arial" w:hAnsi="Arial"/>
          <w:b/>
          <w:bCs/>
          <w:color w:val="1B2A4A"/>
          <w:sz w:val="26"/>
          <w:szCs w:val="26"/>
        </w:rPr>
        <w:t xml:space="preserve">10.2 Horario de Mercado (9:30 AM – 4:00 PM ET)</w:t>
      </w:r>
    </w:p>
    <w:p>
      <w:pPr>
        <w:pStyle w:val="Heading3"/>
        <w:spacing w:before="200" w:after="100"/>
      </w:pPr>
      <w:r>
        <w:rPr>
          <w:rFonts w:ascii="Arial" w:cs="Arial" w:eastAsia="Arial" w:hAnsi="Arial"/>
          <w:b/>
          <w:bCs/>
          <w:color w:val="1A6B8A"/>
          <w:sz w:val="22"/>
          <w:szCs w:val="22"/>
        </w:rPr>
        <w:t xml:space="preserve">9:30 AM – Apertura</w:t>
      </w:r>
    </w:p>
    <w:p>
      <w:pPr>
        <w:pStyle w:val="ListParagraph"/>
        <w:numPr>
          <w:ilvl w:val="0"/>
          <w:numId w:val="4"/>
        </w:numPr>
        <w:spacing w:before="30" w:after="30"/>
      </w:pPr>
      <w:r>
        <w:rPr>
          <w:rFonts w:ascii="Arial" w:cs="Arial" w:eastAsia="Arial" w:hAnsi="Arial"/>
          <w:color w:val="1E1E1E"/>
          <w:sz w:val="20"/>
          <w:szCs w:val="20"/>
        </w:rPr>
        <w:t xml:space="preserve">Enviar órdenes de entrada para nuevas posiciones</w:t>
      </w:r>
    </w:p>
    <w:p>
      <w:pPr>
        <w:pStyle w:val="ListParagraph"/>
        <w:numPr>
          <w:ilvl w:val="0"/>
          <w:numId w:val="4"/>
        </w:numPr>
        <w:spacing w:before="30" w:after="30"/>
      </w:pPr>
      <w:r>
        <w:rPr>
          <w:rFonts w:ascii="Arial" w:cs="Arial" w:eastAsia="Arial" w:hAnsi="Arial"/>
          <w:color w:val="1E1E1E"/>
          <w:sz w:val="20"/>
          <w:szCs w:val="20"/>
        </w:rPr>
        <w:t xml:space="preserve">Confirmar fills y registrar precios de entrada</w:t>
      </w:r>
    </w:p>
    <w:p>
      <w:pPr>
        <w:pStyle w:val="ListParagraph"/>
        <w:numPr>
          <w:ilvl w:val="0"/>
          <w:numId w:val="4"/>
        </w:numPr>
        <w:spacing w:before="30" w:after="30"/>
      </w:pPr>
      <w:r>
        <w:rPr>
          <w:rFonts w:ascii="Arial" w:cs="Arial" w:eastAsia="Arial" w:hAnsi="Arial"/>
          <w:color w:val="1E1E1E"/>
          <w:sz w:val="20"/>
          <w:szCs w:val="20"/>
        </w:rPr>
        <w:t xml:space="preserve">Calcular minutos de salida programados</w:t>
      </w:r>
    </w:p>
    <w:p>
      <w:pPr>
        <w:pStyle w:val="Heading3"/>
        <w:spacing w:before="200" w:after="100"/>
      </w:pPr>
      <w:r>
        <w:rPr>
          <w:rFonts w:ascii="Arial" w:cs="Arial" w:eastAsia="Arial" w:hAnsi="Arial"/>
          <w:b/>
          <w:bCs/>
          <w:color w:val="1A6B8A"/>
          <w:sz w:val="22"/>
          <w:szCs w:val="22"/>
        </w:rPr>
        <w:t xml:space="preserve">Durante el Día</w:t>
      </w:r>
    </w:p>
    <w:p>
      <w:pPr>
        <w:pStyle w:val="ListParagraph"/>
        <w:numPr>
          <w:ilvl w:val="0"/>
          <w:numId w:val="4"/>
        </w:numPr>
        <w:spacing w:before="30" w:after="30"/>
      </w:pPr>
      <w:r>
        <w:rPr>
          <w:rFonts w:ascii="Arial" w:cs="Arial" w:eastAsia="Arial" w:hAnsi="Arial"/>
          <w:color w:val="1E1E1E"/>
          <w:sz w:val="20"/>
          <w:szCs w:val="20"/>
        </w:rPr>
        <w:t xml:space="preserve">Monitorear posiciones que expiran</w:t>
      </w:r>
    </w:p>
    <w:p>
      <w:pPr>
        <w:pStyle w:val="ListParagraph"/>
        <w:numPr>
          <w:ilvl w:val="0"/>
          <w:numId w:val="4"/>
        </w:numPr>
        <w:spacing w:before="30" w:after="30"/>
      </w:pPr>
      <w:r>
        <w:rPr>
          <w:rFonts w:ascii="Arial" w:cs="Arial" w:eastAsia="Arial" w:hAnsi="Arial"/>
          <w:color w:val="1E1E1E"/>
          <w:sz w:val="20"/>
          <w:szCs w:val="20"/>
        </w:rPr>
        <w:t xml:space="preserve">Ejecutar salidas en minutos programados</w:t>
      </w:r>
    </w:p>
    <w:p>
      <w:pPr>
        <w:pStyle w:val="ListParagraph"/>
        <w:numPr>
          <w:ilvl w:val="0"/>
          <w:numId w:val="4"/>
        </w:numPr>
        <w:spacing w:before="30" w:after="30"/>
      </w:pPr>
      <w:r>
        <w:rPr>
          <w:rFonts w:ascii="Arial" w:cs="Arial" w:eastAsia="Arial" w:hAnsi="Arial"/>
          <w:color w:val="1E1E1E"/>
          <w:sz w:val="20"/>
          <w:szCs w:val="20"/>
        </w:rPr>
        <w:t xml:space="preserve">Registrar todos los fills y actualizar cash disponible</w:t>
      </w:r>
    </w:p>
    <w:p>
      <w:pPr>
        <w:pStyle w:val="Heading3"/>
        <w:spacing w:before="200" w:after="100"/>
      </w:pPr>
      <w:r>
        <w:rPr>
          <w:rFonts w:ascii="Arial" w:cs="Arial" w:eastAsia="Arial" w:hAnsi="Arial"/>
          <w:b/>
          <w:bCs/>
          <w:color w:val="1A6B8A"/>
          <w:sz w:val="22"/>
          <w:szCs w:val="22"/>
        </w:rPr>
        <w:t xml:space="preserve">3:30 PM – Pre-Cierre</w:t>
      </w:r>
    </w:p>
    <w:p>
      <w:pPr>
        <w:pStyle w:val="ListParagraph"/>
        <w:numPr>
          <w:ilvl w:val="0"/>
          <w:numId w:val="4"/>
        </w:numPr>
        <w:spacing w:before="30" w:after="30"/>
      </w:pPr>
      <w:r>
        <w:rPr>
          <w:rFonts w:ascii="Arial" w:cs="Arial" w:eastAsia="Arial" w:hAnsi="Arial"/>
          <w:color w:val="1E1E1E"/>
          <w:sz w:val="20"/>
          <w:szCs w:val="20"/>
        </w:rPr>
        <w:t xml:space="preserve">Revisar posiciones pendientes de cierre</w:t>
      </w:r>
    </w:p>
    <w:p>
      <w:pPr>
        <w:pStyle w:val="ListParagraph"/>
        <w:numPr>
          <w:ilvl w:val="0"/>
          <w:numId w:val="4"/>
        </w:numPr>
        <w:spacing w:before="30" w:after="30"/>
      </w:pPr>
      <w:r>
        <w:rPr>
          <w:rFonts w:ascii="Arial" w:cs="Arial" w:eastAsia="Arial" w:hAnsi="Arial"/>
          <w:color w:val="1E1E1E"/>
          <w:sz w:val="20"/>
          <w:szCs w:val="20"/>
        </w:rPr>
        <w:t xml:space="preserve">Preparar órdenes para overnight si aplica</w:t>
      </w:r>
    </w:p>
    <w:p>
      <w:pPr>
        <w:pStyle w:val="ListParagraph"/>
        <w:numPr>
          <w:ilvl w:val="0"/>
          <w:numId w:val="4"/>
        </w:numPr>
        <w:spacing w:before="30" w:after="30"/>
      </w:pPr>
      <w:r>
        <w:rPr>
          <w:rFonts w:ascii="Arial" w:cs="Arial" w:eastAsia="Arial" w:hAnsi="Arial"/>
          <w:color w:val="1E1E1E"/>
          <w:sz w:val="20"/>
          <w:szCs w:val="20"/>
        </w:rPr>
        <w:t xml:space="preserve">Confirmar que todas las salidas programadas se ejecutaron</w:t>
      </w:r>
    </w:p>
    <w:p>
      <w:pPr>
        <w:pStyle w:val="Heading3"/>
        <w:spacing w:before="200" w:after="100"/>
      </w:pPr>
      <w:r>
        <w:rPr>
          <w:rFonts w:ascii="Arial" w:cs="Arial" w:eastAsia="Arial" w:hAnsi="Arial"/>
          <w:b/>
          <w:bCs/>
          <w:color w:val="1A6B8A"/>
          <w:sz w:val="22"/>
          <w:szCs w:val="22"/>
        </w:rPr>
        <w:t xml:space="preserve">4:00 PM – Cierre</w:t>
      </w:r>
    </w:p>
    <w:p>
      <w:pPr>
        <w:pStyle w:val="ListParagraph"/>
        <w:numPr>
          <w:ilvl w:val="0"/>
          <w:numId w:val="4"/>
        </w:numPr>
        <w:spacing w:before="30" w:after="30"/>
      </w:pPr>
      <w:r>
        <w:rPr>
          <w:rFonts w:ascii="Arial" w:cs="Arial" w:eastAsia="Arial" w:hAnsi="Arial"/>
          <w:color w:val="1E1E1E"/>
          <w:sz w:val="20"/>
          <w:szCs w:val="20"/>
        </w:rPr>
        <w:t xml:space="preserve">Cierre de todas las operaciones del día</w:t>
      </w:r>
    </w:p>
    <w:p>
      <w:pPr>
        <w:pStyle w:val="ListParagraph"/>
        <w:numPr>
          <w:ilvl w:val="0"/>
          <w:numId w:val="4"/>
        </w:numPr>
        <w:spacing w:before="30" w:after="30"/>
      </w:pPr>
      <w:r>
        <w:rPr>
          <w:rFonts w:ascii="Arial" w:cs="Arial" w:eastAsia="Arial" w:hAnsi="Arial"/>
          <w:color w:val="1E1E1E"/>
          <w:sz w:val="20"/>
          <w:szCs w:val="20"/>
        </w:rPr>
        <w:t xml:space="preserve">Reconciliación de posiciones</w:t>
      </w:r>
    </w:p>
    <w:p>
      <w:pPr>
        <w:pStyle w:val="ListParagraph"/>
        <w:numPr>
          <w:ilvl w:val="0"/>
          <w:numId w:val="4"/>
        </w:numPr>
        <w:spacing w:before="30" w:after="30"/>
      </w:pPr>
      <w:r>
        <w:rPr>
          <w:rFonts w:ascii="Arial" w:cs="Arial" w:eastAsia="Arial" w:hAnsi="Arial"/>
          <w:color w:val="1E1E1E"/>
          <w:sz w:val="20"/>
          <w:szCs w:val="20"/>
        </w:rPr>
        <w:t xml:space="preserve">Cálculo de P&amp;L diario</w:t>
      </w:r>
    </w:p>
    <w:p>
      <w:pPr>
        <w:pStyle w:val="ListParagraph"/>
        <w:numPr>
          <w:ilvl w:val="0"/>
          <w:numId w:val="4"/>
        </w:numPr>
        <w:spacing w:before="30" w:after="30"/>
      </w:pPr>
      <w:r>
        <w:rPr>
          <w:rFonts w:ascii="Arial" w:cs="Arial" w:eastAsia="Arial" w:hAnsi="Arial"/>
          <w:color w:val="1E1E1E"/>
          <w:sz w:val="20"/>
          <w:szCs w:val="20"/>
        </w:rPr>
        <w:t xml:space="preserve">Generación de reportes</w:t>
      </w:r>
    </w:p>
    <w:p>
      <w:pPr>
        <w:pStyle w:val="Heading2"/>
        <w:spacing w:before="240" w:after="120"/>
      </w:pPr>
      <w:r>
        <w:rPr>
          <w:rFonts w:ascii="Arial" w:cs="Arial" w:eastAsia="Arial" w:hAnsi="Arial"/>
          <w:b/>
          <w:bCs/>
          <w:color w:val="1B2A4A"/>
          <w:sz w:val="26"/>
          <w:szCs w:val="26"/>
        </w:rPr>
        <w:t xml:space="preserve">10.3 Post-Mercado (4:00 PM – 6:00 PM ET)</w:t>
      </w:r>
    </w:p>
    <w:p>
      <w:pPr>
        <w:pStyle w:val="ListParagraph"/>
        <w:numPr>
          <w:ilvl w:val="0"/>
          <w:numId w:val="4"/>
        </w:numPr>
        <w:spacing w:before="30" w:after="30"/>
      </w:pPr>
      <w:r>
        <w:rPr>
          <w:rFonts w:ascii="Arial" w:cs="Arial" w:eastAsia="Arial" w:hAnsi="Arial"/>
          <w:color w:val="1E1E1E"/>
          <w:sz w:val="20"/>
          <w:szCs w:val="20"/>
        </w:rPr>
        <w:t xml:space="preserve">Descargar datos de cierre</w:t>
      </w:r>
    </w:p>
    <w:p>
      <w:pPr>
        <w:pStyle w:val="ListParagraph"/>
        <w:numPr>
          <w:ilvl w:val="0"/>
          <w:numId w:val="4"/>
        </w:numPr>
        <w:spacing w:before="30" w:after="30"/>
      </w:pPr>
      <w:r>
        <w:rPr>
          <w:rFonts w:ascii="Arial" w:cs="Arial" w:eastAsia="Arial" w:hAnsi="Arial"/>
          <w:color w:val="1E1E1E"/>
          <w:sz w:val="20"/>
          <w:szCs w:val="20"/>
        </w:rPr>
        <w:t xml:space="preserve">Actualizar base de datos</w:t>
      </w:r>
    </w:p>
    <w:p>
      <w:pPr>
        <w:pStyle w:val="ListParagraph"/>
        <w:numPr>
          <w:ilvl w:val="0"/>
          <w:numId w:val="4"/>
        </w:numPr>
        <w:spacing w:before="30" w:after="30"/>
      </w:pPr>
      <w:r>
        <w:rPr>
          <w:rFonts w:ascii="Arial" w:cs="Arial" w:eastAsia="Arial" w:hAnsi="Arial"/>
          <w:color w:val="1E1E1E"/>
          <w:sz w:val="20"/>
          <w:szCs w:val="20"/>
        </w:rPr>
        <w:t xml:space="preserve">Generar reportes diarios</w:t>
      </w:r>
    </w:p>
    <w:p>
      <w:pPr>
        <w:pStyle w:val="ListParagraph"/>
        <w:numPr>
          <w:ilvl w:val="0"/>
          <w:numId w:val="4"/>
        </w:numPr>
        <w:spacing w:before="30" w:after="30"/>
      </w:pPr>
      <w:r>
        <w:rPr>
          <w:rFonts w:ascii="Arial" w:cs="Arial" w:eastAsia="Arial" w:hAnsi="Arial"/>
          <w:color w:val="1E1E1E"/>
          <w:sz w:val="20"/>
          <w:szCs w:val="20"/>
        </w:rPr>
        <w:t xml:space="preserve">Verificar integridad de datos</w:t>
      </w:r>
    </w:p>
    <w:p>
      <w:pPr>
        <w:pStyle w:val="ListParagraph"/>
        <w:numPr>
          <w:ilvl w:val="0"/>
          <w:numId w:val="4"/>
        </w:numPr>
        <w:spacing w:before="30" w:after="30"/>
      </w:pPr>
      <w:r>
        <w:rPr>
          <w:rFonts w:ascii="Arial" w:cs="Arial" w:eastAsia="Arial" w:hAnsi="Arial"/>
          <w:color w:val="1E1E1E"/>
          <w:sz w:val="20"/>
          <w:szCs w:val="20"/>
        </w:rPr>
        <w:t xml:space="preserve">Preparar análisis para siguiente día</w:t>
      </w:r>
    </w:p>
    <w:p>
      <w:pPr>
        <w:pStyle w:val="Heading2"/>
        <w:spacing w:before="240" w:after="120"/>
      </w:pPr>
      <w:r>
        <w:rPr>
          <w:rFonts w:ascii="Arial" w:cs="Arial" w:eastAsia="Arial" w:hAnsi="Arial"/>
          <w:b/>
          <w:bCs/>
          <w:color w:val="1B2A4A"/>
          <w:sz w:val="26"/>
          <w:szCs w:val="26"/>
        </w:rPr>
        <w:t xml:space="preserve">10.4 Procedimientos de Emergencia</w:t>
      </w:r>
    </w:p>
    <w:p>
      <w:pPr>
        <w:pStyle w:val="Heading3"/>
        <w:spacing w:before="200" w:after="100"/>
      </w:pPr>
      <w:r>
        <w:rPr>
          <w:rFonts w:ascii="Arial" w:cs="Arial" w:eastAsia="Arial" w:hAnsi="Arial"/>
          <w:b/>
          <w:bCs/>
          <w:color w:val="1A6B8A"/>
          <w:sz w:val="22"/>
          <w:szCs w:val="22"/>
        </w:rPr>
        <w:t xml:space="preserve">Escenario A: Falla de Conexión</w:t>
      </w:r>
    </w:p>
    <w:p>
      <w:pPr>
        <w:pStyle w:val="ListParagraph"/>
        <w:numPr>
          <w:ilvl w:val="0"/>
          <w:numId w:val="3"/>
        </w:numPr>
        <w:spacing w:before="40" w:after="40"/>
      </w:pPr>
      <w:r>
        <w:rPr>
          <w:rFonts w:ascii="Arial" w:cs="Arial" w:eastAsia="Arial" w:hAnsi="Arial"/>
          <w:color w:val="1E1E1E"/>
          <w:sz w:val="21"/>
          <w:szCs w:val="21"/>
        </w:rPr>
        <w:t xml:space="preserve">Intentar reconexión automática (3 intentos)</w:t>
      </w:r>
    </w:p>
    <w:p>
      <w:pPr>
        <w:pStyle w:val="ListParagraph"/>
        <w:numPr>
          <w:ilvl w:val="0"/>
          <w:numId w:val="3"/>
        </w:numPr>
        <w:spacing w:before="40" w:after="40"/>
      </w:pPr>
      <w:r>
        <w:rPr>
          <w:rFonts w:ascii="Arial" w:cs="Arial" w:eastAsia="Arial" w:hAnsi="Arial"/>
          <w:color w:val="1E1E1E"/>
          <w:sz w:val="21"/>
          <w:szCs w:val="21"/>
        </w:rPr>
        <w:t xml:space="preserve">Si falla, enviar alerta a operador humano</w:t>
      </w:r>
    </w:p>
    <w:p>
      <w:pPr>
        <w:pStyle w:val="ListParagraph"/>
        <w:numPr>
          <w:ilvl w:val="0"/>
          <w:numId w:val="3"/>
        </w:numPr>
        <w:spacing w:before="40" w:after="40"/>
      </w:pPr>
      <w:r>
        <w:rPr>
          <w:rFonts w:ascii="Arial" w:cs="Arial" w:eastAsia="Arial" w:hAnsi="Arial"/>
          <w:color w:val="1E1E1E"/>
          <w:sz w:val="21"/>
          <w:szCs w:val="21"/>
        </w:rPr>
        <w:t xml:space="preserve">Operador evalúa: Si &lt; 30 min antes de cierre: esperar reconexión. Si &gt; 30 min: ejecutar manualmente por teléfono</w:t>
      </w:r>
    </w:p>
    <w:p>
      <w:pPr>
        <w:pStyle w:val="ListParagraph"/>
        <w:numPr>
          <w:ilvl w:val="0"/>
          <w:numId w:val="3"/>
        </w:numPr>
        <w:spacing w:before="40" w:after="40"/>
      </w:pPr>
      <w:r>
        <w:t>Registrar incidente según Sección 8.5 y ejecutar post-mortem (causa raíz, acciones correctivas y prevención).</w:t>
      </w:r>
    </w:p>
    <w:p>
      <w:pPr>
        <w:pStyle w:val="Heading3"/>
        <w:spacing w:before="200" w:after="100"/>
      </w:pPr>
      <w:r>
        <w:rPr>
          <w:rFonts w:ascii="Arial" w:cs="Arial" w:eastAsia="Arial" w:hAnsi="Arial"/>
          <w:b/>
          <w:bCs/>
          <w:color w:val="1A6B8A"/>
          <w:sz w:val="22"/>
          <w:szCs w:val="22"/>
        </w:rPr>
        <w:t xml:space="preserve">Escenario B: Gap Adverso Mayor a 20%</w:t>
      </w:r>
    </w:p>
    <w:p>
      <w:pPr>
        <w:pStyle w:val="ListParagraph"/>
        <w:numPr>
          <w:ilvl w:val="0"/>
          <w:numId w:val="3"/>
        </w:numPr>
        <w:spacing w:before="40" w:after="40"/>
      </w:pPr>
      <w:r>
        <w:rPr>
          <w:rFonts w:ascii="Arial" w:cs="Arial" w:eastAsia="Arial" w:hAnsi="Arial"/>
          <w:color w:val="1E1E1E"/>
          <w:sz w:val="21"/>
          <w:szCs w:val="21"/>
        </w:rPr>
        <w:t xml:space="preserve">Detectar gap &gt; 20% en posición individual</w:t>
      </w:r>
    </w:p>
    <w:p>
      <w:pPr>
        <w:pStyle w:val="ListParagraph"/>
        <w:numPr>
          <w:ilvl w:val="0"/>
          <w:numId w:val="3"/>
        </w:numPr>
        <w:spacing w:before="40" w:after="40"/>
      </w:pPr>
      <w:r>
        <w:rPr>
          <w:rFonts w:ascii="Arial" w:cs="Arial" w:eastAsia="Arial" w:hAnsi="Arial"/>
          <w:color w:val="1E1E1E"/>
          <w:sz w:val="21"/>
          <w:szCs w:val="21"/>
        </w:rPr>
        <w:t xml:space="preserve">Pausar nuevas entradas en ese símbolo</w:t>
      </w:r>
    </w:p>
    <w:p>
      <w:pPr>
        <w:pStyle w:val="ListParagraph"/>
        <w:numPr>
          <w:ilvl w:val="0"/>
          <w:numId w:val="3"/>
        </w:numPr>
        <w:spacing w:before="40" w:after="40"/>
      </w:pPr>
      <w:r>
        <w:rPr>
          <w:rFonts w:ascii="Arial" w:cs="Arial" w:eastAsia="Arial" w:hAnsi="Arial"/>
          <w:color w:val="1E1E1E"/>
          <w:sz w:val="21"/>
          <w:szCs w:val="21"/>
        </w:rPr>
        <w:t xml:space="preserve">Evaluar tipo: Evento corporativo (earnings, M&amp;A) → mantener. Noticia estructural (fraud, bankruptcy) → evaluar cierre manual</w:t>
      </w:r>
    </w:p>
    <w:p>
      <w:pPr>
        <w:pStyle w:val="ListParagraph"/>
        <w:numPr>
          <w:ilvl w:val="0"/>
          <w:numId w:val="3"/>
        </w:numPr>
        <w:spacing w:before="40" w:after="40"/>
      </w:pPr>
      <w:r>
        <w:rPr>
          <w:rFonts w:ascii="Arial" w:cs="Arial" w:eastAsia="Arial" w:hAnsi="Arial"/>
          <w:color w:val="1E1E1E"/>
          <w:sz w:val="21"/>
          <w:szCs w:val="21"/>
        </w:rPr>
        <w:t xml:space="preserve">Documentar decisión y ajustar modelo si es necesario</w:t>
      </w:r>
    </w:p>
    <w:p>
      <w:pPr>
        <w:pStyle w:val="Heading3"/>
        <w:spacing w:before="200" w:after="100"/>
      </w:pPr>
      <w:r>
        <w:rPr>
          <w:rFonts w:ascii="Arial" w:cs="Arial" w:eastAsia="Arial" w:hAnsi="Arial"/>
          <w:b/>
          <w:bCs/>
          <w:color w:val="1A6B8A"/>
          <w:sz w:val="22"/>
          <w:szCs w:val="22"/>
        </w:rPr>
        <w:t xml:space="preserve">Escenario C: Suspensión de Trading</w:t>
      </w:r>
    </w:p>
    <w:p>
      <w:pPr>
        <w:pStyle w:val="ListParagraph"/>
        <w:numPr>
          <w:ilvl w:val="0"/>
          <w:numId w:val="3"/>
        </w:numPr>
        <w:spacing w:before="40" w:after="40"/>
      </w:pPr>
      <w:r>
        <w:rPr>
          <w:rFonts w:ascii="Arial" w:cs="Arial" w:eastAsia="Arial" w:hAnsi="Arial"/>
          <w:color w:val="1E1E1E"/>
          <w:sz w:val="21"/>
          <w:szCs w:val="21"/>
        </w:rPr>
        <w:t xml:space="preserve">Detectar suspensión de símbolo y marcar como no-disponible</w:t>
      </w:r>
    </w:p>
    <w:p>
      <w:pPr>
        <w:pStyle w:val="ListParagraph"/>
        <w:numPr>
          <w:ilvl w:val="0"/>
          <w:numId w:val="3"/>
        </w:numPr>
        <w:spacing w:before="40" w:after="40"/>
      </w:pPr>
      <w:r>
        <w:rPr>
          <w:rFonts w:ascii="Arial" w:cs="Arial" w:eastAsia="Arial" w:hAnsi="Arial"/>
          <w:color w:val="1E1E1E"/>
          <w:sz w:val="21"/>
          <w:szCs w:val="21"/>
        </w:rPr>
        <w:t xml:space="preserve">Si hay posición abierta: esperar reanudación</w:t>
      </w:r>
    </w:p>
    <w:p>
      <w:pPr>
        <w:pStyle w:val="ListParagraph"/>
        <w:numPr>
          <w:ilvl w:val="0"/>
          <w:numId w:val="3"/>
        </w:numPr>
        <w:spacing w:before="40" w:after="40"/>
      </w:pPr>
      <w:r>
        <w:rPr>
          <w:rFonts w:ascii="Arial" w:cs="Arial" w:eastAsia="Arial" w:hAnsi="Arial"/>
          <w:color w:val="1E1E1E"/>
          <w:sz w:val="21"/>
          <w:szCs w:val="21"/>
        </w:rPr>
        <w:t xml:space="preserve">Si suspensión &gt; 5 días: evaluar con asesor legal</w:t>
      </w:r>
    </w:p>
    <w:p>
      <w:pPr>
        <w:pStyle w:val="ListParagraph"/>
        <w:numPr>
          <w:ilvl w:val="0"/>
          <w:numId w:val="3"/>
        </w:numPr>
        <w:spacing w:before="40" w:after="40"/>
      </w:pPr>
      <w:r>
        <w:rPr>
          <w:rFonts w:ascii="Arial" w:cs="Arial" w:eastAsia="Arial" w:hAnsi="Arial"/>
          <w:color w:val="1E1E1E"/>
          <w:sz w:val="21"/>
          <w:szCs w:val="21"/>
        </w:rPr>
        <w:t xml:space="preserve">Ajustar universo si es permanente</w:t>
      </w:r>
    </w:p>
    <w:p>
      <w:r>
        <w:br/>
      </w:r>
    </w:p>
    <w:p>
      <w:pPr>
        <w:spacing w:before="0" w:after="0"/>
      </w:pPr>
      <w:r>
        <w:rPr>
          <w:sz w:val="6"/>
          <w:szCs w:val="6"/>
        </w:rPr>
        <w:t xml:space="preserve"> </w:t>
      </w:r>
    </w:p>
    <w:p>
      <w:pPr>
        <w:pStyle w:val="Heading1"/>
        <w:spacing w:before="100" w:after="60"/>
      </w:pPr>
      <w:r>
        <w:rPr>
          <w:rFonts w:ascii="Arial" w:cs="Arial" w:eastAsia="Arial" w:hAnsi="Arial"/>
          <w:b/>
          <w:bCs/>
          <w:color w:val="2E86AB"/>
          <w:sz w:val="40"/>
          <w:szCs w:val="40"/>
        </w:rPr>
        <w:t xml:space="preserve">11</w:t>
      </w:r>
      <w:r>
        <w:rPr>
          <w:rFonts w:ascii="Arial" w:cs="Arial" w:eastAsia="Arial" w:hAnsi="Arial"/>
          <w:b/>
          <w:bCs/>
          <w:color w:val="1B2A4A"/>
          <w:sz w:val="32"/>
          <w:szCs w:val="32"/>
        </w:rPr>
        <w:t xml:space="preserve">  MÉTRICAS Y EVALUACIÓN</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11.1 Métricas de Retorno</w:t>
      </w:r>
    </w:p>
    <w:p>
      <w:pPr>
        <w:pStyle w:val="Heading2"/>
      </w:pPr>
      <w:r>
        <w:t>CAGR, retorno anualizado y retorno por ciclo (21 días).</w:t>
      </w:r>
    </w:p>
    <w:p>
      <w:pPr>
        <w:pStyle w:val="Heading2"/>
      </w:pPr>
      <w:r>
        <w:t>Contribución por factor: Value vs Quality vs Momentum (atribución simple por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Retorno Total = (Valor Final - Valor Inicial) / Valor Inicial</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CAGR = (Valor Final / Valor Inicial)^(1 / Años) - 1</w:t>
            </w:r>
          </w:p>
          <w:p>
            <w:pPr>
              <w:spacing w:before="0" w:after="0"/>
            </w:pPr>
            <w:r>
              <w:rPr>
                <w:rFonts w:ascii="Consolas" w:cs="Consolas" w:eastAsia="Consolas" w:hAnsi="Consolas"/>
                <w:color w:val="1E1E1E"/>
                <w:sz w:val="17"/>
                <w:szCs w:val="17"/>
              </w:rPr>
              <w:t xml:space="preserve">  donde Años = Días de Trading / 252</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Retorno por Operación = (Precio Salida - Precio Entrada) / Precio Entrada</w:t>
            </w:r>
          </w:p>
        </w:tc>
      </w:tr>
    </w:tbl>
    <w:p>
      <w:pPr>
        <w:pStyle w:val="Heading2"/>
        <w:spacing w:before="240" w:after="120"/>
      </w:pPr>
      <w:r>
        <w:rPr>
          <w:rFonts w:ascii="Arial" w:cs="Arial" w:eastAsia="Arial" w:hAnsi="Arial"/>
          <w:b/>
          <w:bCs/>
          <w:color w:val="1B2A4A"/>
          <w:sz w:val="26"/>
          <w:szCs w:val="26"/>
        </w:rPr>
        <w:t xml:space="preserve">11.2 Métricas de Riesgo</w:t>
      </w:r>
    </w:p>
    <w:p>
      <w:pPr>
        <w:pStyle w:val="Heading2"/>
      </w:pPr>
      <w:r>
        <w:t>Max Drawdown (MDD), volatilidad anualizada, Sharpe/Sortino.</w:t>
      </w:r>
    </w:p>
    <w:p>
      <w:pPr>
        <w:pStyle w:val="Heading2"/>
      </w:pPr>
      <w:r>
        <w:t>Riesgo overnight: distribución de gaps Close-to-Open; ES 97.5% a 1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σ_anual = σ_diaria × √252</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MDD = mínimo((Valor_t - Máximo_Valor_hasta_t) / Máximo_Valor_hasta_t)</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VaR_95 = media_retornos - 1.645 × σ_retornos</w:t>
            </w:r>
          </w:p>
        </w:tc>
      </w:tr>
    </w:tbl>
    <w:p>
      <w:pPr>
        <w:pStyle w:val="Heading2"/>
        <w:spacing w:before="240" w:after="120"/>
      </w:pPr>
      <w:r>
        <w:rPr>
          <w:rFonts w:ascii="Arial" w:cs="Arial" w:eastAsia="Arial" w:hAnsi="Arial"/>
          <w:b/>
          <w:bCs/>
          <w:color w:val="1B2A4A"/>
          <w:sz w:val="26"/>
          <w:szCs w:val="26"/>
        </w:rPr>
        <w:t xml:space="preserve">11.3 Métricas de Eficiencia</w:t>
      </w:r>
    </w:p>
    <w:p>
      <w:pPr>
        <w:pStyle w:val="Heading2"/>
      </w:pPr>
      <w:r>
        <w:t>Calmar (CAGR/MDD), hit rate, payoff ratio.</w:t>
      </w:r>
    </w:p>
    <w:p>
      <w:pPr>
        <w:pStyle w:val="Heading2"/>
      </w:pPr>
      <w:r>
        <w:t>Turnover y estabilidad de ranking (persistencia del top-10).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Sharpe  = (R_portafolio - R_libre_riesgo) / σ_portafolio</w:t>
            </w:r>
          </w:p>
          <w:p>
            <w:pPr>
              <w:spacing w:before="0" w:after="0"/>
            </w:pPr>
            <w:r>
              <w:rPr>
                <w:rFonts w:ascii="Consolas" w:cs="Consolas" w:eastAsia="Consolas" w:hAnsi="Consolas"/>
                <w:color w:val="1E1E1E"/>
                <w:sz w:val="17"/>
                <w:szCs w:val="17"/>
              </w:rPr>
              <w:t xml:space="preserve">  donde R_libre_riesgo = 2% (T-Bill rate asumido)</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Sortino = (R_portafolio - R_libre_riesgo) / σ_downside</w:t>
            </w:r>
          </w:p>
          <w:p>
            <w:pPr>
              <w:spacing w:before="0" w:after="0"/>
            </w:pPr>
            <w:r>
              <w:rPr>
                <w:rFonts w:ascii="Consolas" w:cs="Consolas" w:eastAsia="Consolas" w:hAnsi="Consolas"/>
                <w:color w:val="1E1E1E"/>
                <w:sz w:val="17"/>
                <w:szCs w:val="17"/>
              </w:rPr>
              <w:t xml:space="preserve">  donde σ_downside = desv. est. de retornos negativos únicamente</w:t>
            </w:r>
          </w:p>
          <w:p>
            <w:pPr>
              <w:spacing w:before="0" w:after="0"/>
            </w:pPr>
            <w:r>
              <w:rPr>
                <w:rFonts w:ascii="Consolas" w:cs="Consolas" w:eastAsia="Consolas" w:hAnsi="Consolas"/>
                <w:color w:val="1E1E1E"/>
                <w:sz w:val="17"/>
                <w:szCs w:val="17"/>
              </w:rPr>
              <w:t xml:space="preserve"/>
            </w:r>
          </w:p>
          <w:p>
            <w:pPr>
              <w:spacing w:before="0" w:after="0"/>
            </w:pPr>
            <w:r>
              <w:rPr>
                <w:rFonts w:ascii="Consolas" w:cs="Consolas" w:eastAsia="Consolas" w:hAnsi="Consolas"/>
                <w:color w:val="1E1E1E"/>
                <w:sz w:val="17"/>
                <w:szCs w:val="17"/>
              </w:rPr>
              <w:t xml:space="preserve">Calmar  = CAGR / |MDD|</w:t>
            </w:r>
          </w:p>
        </w:tc>
      </w:tr>
    </w:tbl>
    <w:p>
      <w:pPr>
        <w:pStyle w:val="Heading2"/>
        <w:spacing w:before="240" w:after="120"/>
      </w:pPr>
      <w:r>
        <w:rPr>
          <w:rFonts w:ascii="Arial" w:cs="Arial" w:eastAsia="Arial" w:hAnsi="Arial"/>
          <w:b/>
          <w:bCs/>
          <w:color w:val="1B2A4A"/>
          <w:sz w:val="26"/>
          <w:szCs w:val="26"/>
        </w:rPr>
        <w:t xml:space="preserve">11.4 Métricas de Trading</w:t>
      </w:r>
    </w:p>
    <w:p>
      <w:pPr>
        <w:pStyle w:val="Heading2"/>
      </w:pPr>
      <w:r>
        <w:t>Slippage promedio, costo total (comisiones + spread + slippage).</w:t>
      </w:r>
    </w:p>
    <w:p>
      <w:pPr>
        <w:pStyle w:val="Heading2"/>
      </w:pPr>
      <w:r>
        <w:t>Porcentaje de fills fuera del minuto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Win Rate        = Operaciones Ganadoras / Total Operaciones</w:t>
            </w:r>
          </w:p>
          <w:p>
            <w:pPr>
              <w:spacing w:before="0" w:after="0"/>
            </w:pPr>
            <w:r>
              <w:rPr>
                <w:rFonts w:ascii="Consolas" w:cs="Consolas" w:eastAsia="Consolas" w:hAnsi="Consolas"/>
                <w:color w:val="1E1E1E"/>
                <w:sz w:val="17"/>
                <w:szCs w:val="17"/>
              </w:rPr>
              <w:t xml:space="preserve">Profit Factor   = |Suma Ganancias| / |Suma Pérdidas|</w:t>
            </w:r>
          </w:p>
          <w:p>
            <w:pPr>
              <w:spacing w:before="0" w:after="0"/>
            </w:pPr>
            <w:r>
              <w:rPr>
                <w:rFonts w:ascii="Consolas" w:cs="Consolas" w:eastAsia="Consolas" w:hAnsi="Consolas"/>
                <w:color w:val="1E1E1E"/>
                <w:sz w:val="17"/>
                <w:szCs w:val="17"/>
              </w:rPr>
              <w:t xml:space="preserve">Ratio G/P       = Ganancia Promedio / |Pérdida Promedio|</w:t>
            </w:r>
          </w:p>
          <w:p>
            <w:pPr>
              <w:spacing w:before="0" w:after="0"/>
            </w:pPr>
            <w:r>
              <w:rPr>
                <w:rFonts w:ascii="Consolas" w:cs="Consolas" w:eastAsia="Consolas" w:hAnsi="Consolas"/>
                <w:color w:val="1E1E1E"/>
                <w:sz w:val="17"/>
                <w:szCs w:val="17"/>
              </w:rPr>
              <w:t xml:space="preserve">Esperanza (E)   = (WinRate × Ganancia Prom.) + ((1 - WinRate) × Pérdida Prom.)</w:t>
            </w:r>
          </w:p>
        </w:tc>
      </w:tr>
    </w:tbl>
    <w:p>
      <w:pPr>
        <w:pStyle w:val="Heading2"/>
        <w:spacing w:before="240" w:after="120"/>
      </w:pPr>
      <w:r>
        <w:rPr>
          <w:rFonts w:ascii="Arial" w:cs="Arial" w:eastAsia="Arial" w:hAnsi="Arial"/>
          <w:b/>
          <w:bCs/>
          <w:color w:val="1B2A4A"/>
          <w:sz w:val="26"/>
          <w:szCs w:val="26"/>
        </w:rPr>
        <w:t xml:space="preserve">11.5 Umbrales de Alerta</w:t>
      </w:r>
    </w:p>
    <w:p>
      <w:pPr>
        <w:pStyle w:val="Heading2"/>
      </w:pPr>
      <w:r>
        <w:t>Cualquier degradación estadísticamente significativa del edge (p.ej. 12 meses) activa revisión.</w:t>
      </w:r>
    </w:p>
    <w:p>
      <w:pPr>
        <w:pStyle w:val="Heading2"/>
      </w:pPr>
      <w:r>
        <w:t>Drawdowns según 8.3 activan medidas automáticas; intervenciones solo vía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Métrica</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Verde ✅</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Amarillo ⚠️</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Rojo 🛑</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CAGR</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&gt; 10%</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5–10%</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&lt; 5%</w:t>
            </w:r>
          </w:p>
        </w:tc>
      </w:tr>
      <w:tr>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MDD</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&lt; 30%</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30–50%</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&gt; 50%</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Sharpe</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&gt; 0.7</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0.4–0.7</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&lt; 0.4</w:t>
            </w:r>
          </w:p>
        </w:tc>
      </w:tr>
      <w:tr>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Win Rate</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&gt; 52%</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48–52%</w:t>
            </w:r>
          </w:p>
        </w:tc>
        <w:tc>
          <w:tcPr>
            <w:tcW w:type="dxa" w:w="23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&lt; 48%</w:t>
            </w:r>
          </w:p>
        </w:tc>
      </w:tr>
      <w:tr>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Profit Factor</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&gt; 1.2</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1.0–1.2</w:t>
            </w:r>
          </w:p>
        </w:tc>
        <w:tc>
          <w:tcPr>
            <w:tcW w:type="dxa" w:w="23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&lt; 1.0</w:t>
            </w:r>
          </w:p>
        </w:tc>
      </w:tr>
    </w:tbl>
    <w:p>
      <w:r>
        <w:br/>
      </w:r>
    </w:p>
    <w:p>
      <w:pPr>
        <w:spacing w:before="0" w:after="0"/>
      </w:pPr>
      <w:r>
        <w:rPr>
          <w:sz w:val="6"/>
          <w:szCs w:val="6"/>
        </w:rPr>
        <w:t xml:space="preserve"> </w:t>
      </w:r>
    </w:p>
    <w:p>
      <w:pPr/>
      <w:r>
        <w:t>11.6 Validación y Robustez</w:t>
      </w:r>
    </w:p>
    <w:p>
      <w:pPr/>
      <w:r>
        <w:t>Walk-forward: entrenar/ajustar en ventana histórica y evaluar out-of-sample en ventanas posteriores.</w:t>
      </w:r>
    </w:p>
    <w:p>
      <w:pPr/>
      <w:r>
        <w:t>Pruebas por régimen: crisis, tasas al alza, inflación alta, y periodos de alta volatilidad.</w:t>
      </w:r>
    </w:p>
    <w:p>
      <w:pPr/>
      <w:r>
        <w:t>Sensibilidad de parámetros: hold 600-720, ventanas de momentum 63/126/252, ventana de volatilidad 10/20/40.</w:t>
      </w:r>
    </w:p>
    <w:p>
      <w:pPr/>
      <w:r>
        <w:t>Atribución: separar contribución de selección (scores) vs sizing (risk parity) vs timing (overnight).</w:t>
      </w:r>
    </w:p>
    <w:p>
      <w:pPr/>
      <w:r>
        <w:t>Fricciones y capacidad: repetir backtests con costos y slippage realistas; reportar capacidad estimada por liquidez.</w:t>
      </w:r>
    </w:p>
    <w:p>
      <w:pPr/>
      <w:r>
        <w:t>La validación formal y reproducible se especifica en Anexo F.</w:t>
      </w:r>
    </w:p>
    <w:p>
      <w:pPr>
        <w:pStyle w:val="Heading1"/>
        <w:spacing w:before="100" w:after="60"/>
      </w:pPr>
      <w:r>
        <w:rPr>
          <w:rFonts w:ascii="Arial" w:cs="Arial" w:eastAsia="Arial" w:hAnsi="Arial"/>
          <w:b/>
          <w:bCs/>
          <w:color w:val="2E86AB"/>
          <w:sz w:val="40"/>
          <w:szCs w:val="40"/>
        </w:rPr>
        <w:t xml:space="preserve">12</w:t>
      </w:r>
      <w:r>
        <w:rPr>
          <w:rFonts w:ascii="Arial" w:cs="Arial" w:eastAsia="Arial" w:hAnsi="Arial"/>
          <w:b/>
          <w:bCs/>
          <w:color w:val="1B2A4A"/>
          <w:sz w:val="32"/>
          <w:szCs w:val="32"/>
        </w:rPr>
        <w:t xml:space="preserve">  ANEXOS TÉCNICOS</w:t>
      </w:r>
    </w:p>
    <w:p>
      <w:pPr>
        <w:pBdr>
          <w:bottom w:val="single" w:color="2E86AB" w:sz="3" w:space="4"/>
        </w:pBdr>
        <w:spacing w:before="0" w:after="200"/>
      </w:pPr>
    </w:p>
    <w:p>
      <w:pPr>
        <w:pStyle w:val="Heading2"/>
        <w:spacing w:before="240" w:after="120"/>
      </w:pPr>
      <w:r>
        <w:rPr>
          <w:rFonts w:ascii="Arial" w:cs="Arial" w:eastAsia="Arial" w:hAnsi="Arial"/>
          <w:b/>
          <w:bCs/>
          <w:color w:val="1B2A4A"/>
          <w:sz w:val="26"/>
          <w:szCs w:val="26"/>
        </w:rPr>
        <w:t xml:space="preserve">Anexo A: Fórmulas Matemáticas Completas</w:t>
      </w:r>
    </w:p>
    <w:p>
      <w:pPr>
        <w:pStyle w:val="Heading2"/>
      </w:pPr>
      <w:r>
        <w:t>Scores se acotan al rango [0, 1].</w:t>
      </w:r>
    </w:p>
    <w:p>
      <w:pPr>
        <w:pStyle w:val="Heading2"/>
      </w:pPr>
      <w:r>
        <w:t>PE_score = 1 si P/E &lt;= 10; 0 si P/E &gt;= 30; si no, (30 - P/E) / 20.</w:t>
      </w:r>
    </w:p>
    <w:p>
      <w:pPr>
        <w:pStyle w:val="Heading2"/>
      </w:pPr>
      <w:r>
        <w:t>PB_score = 1 si P/B &lt;= 1.5; 0 si P/B &gt;= 5; si no, (5 - P/B) / 3.5.</w:t>
      </w:r>
    </w:p>
    <w:p>
      <w:pPr>
        <w:pStyle w:val="Heading2"/>
      </w:pPr>
      <w:r>
        <w:t>PS_score = 1 si P/S &lt;= 2; 0 si P/S &gt;= 10; si no, (10 - P/S) / 8.</w:t>
      </w:r>
    </w:p>
    <w:p>
      <w:pPr>
        <w:pStyle w:val="Heading2"/>
      </w:pPr>
      <w:r>
        <w:t>VS = 0.50*PE_score + 0.30*PB_score + 0.20*PS_score.</w:t>
      </w:r>
    </w:p>
    <w:p>
      <w:pPr>
        <w:pStyle w:val="Heading2"/>
      </w:pPr>
      <w:r>
        <w:t>ROE_score = clip(ROE/25%, 0, 1).</w:t>
      </w:r>
    </w:p>
    <w:p>
      <w:pPr>
        <w:pStyle w:val="Heading2"/>
      </w:pPr>
      <w:r>
        <w:t>Margin_score = clip(Margin/20%, 0, 1).</w:t>
      </w:r>
    </w:p>
    <w:p>
      <w:pPr>
        <w:pStyle w:val="Heading2"/>
      </w:pPr>
      <w:r>
        <w:t>QS = 0.60*ROE_score + 0.40*Margin_score.</w:t>
      </w:r>
    </w:p>
    <w:p>
      <w:pPr>
        <w:pStyle w:val="Heading2"/>
      </w:pPr>
      <w:r>
        <w:t>retorno_1m = (Close_t - Close_t-20) / Close_t-20</w:t>
      </w:r>
    </w:p>
    <w:p>
      <w:pPr>
        <w:pStyle w:val="Heading2"/>
      </w:pPr>
      <w:r>
        <w:t>retorno_3m = (Close_t - Close_t-60) / Close_t-60</w:t>
      </w:r>
    </w:p>
    <w:p>
      <w:pPr>
        <w:pStyle w:val="Heading2"/>
      </w:pPr>
      <w:r>
        <w:t>momentum_raw = 0.40*retorno_1m + 0.60*retorno_3m</w:t>
      </w:r>
    </w:p>
    <w:p>
      <w:pPr>
        <w:pStyle w:val="Heading2"/>
      </w:pPr>
      <w:r>
        <w:t>momentum_min = -0.20; momentum_max = 0.40</w:t>
      </w:r>
    </w:p>
    <w:p>
      <w:pPr>
        <w:pStyle w:val="Heading2"/>
      </w:pPr>
      <w:r>
        <w:t>MS = 0 si momentum_raw &lt;= momentum_min; 1 si momentum_raw &gt;= momentum_max; en otro caso (momentum_raw - momentum_min) / (momentum_max - momentum_min).</w:t>
      </w:r>
    </w:p>
    <w:p>
      <w:pPr>
        <w:pStyle w:val="Heading2"/>
      </w:pPr>
      <w:r>
        <w:t>CS = 0.50*VS + 0.25*QS + 0.25*MS.</w:t>
      </w:r>
    </w:p>
    <w:p>
      <w:pPr>
        <w:pStyle w:val="Heading2"/>
      </w:pPr>
      <w:r>
        <w:t>Risk Parity: w_i preliminar = (1/vol_i) / sum_j(1/vol_j), con vol_i calculada en ventana 20 días; luego aplicar límites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7FA" w:val="clear"/>
            <w:tcMar>
              <w:top w:type="dxa" w:w="100"/>
              <w:left w:type="dxa" w:w="200"/>
              <w:bottom w:type="dxa" w:w="100"/>
              <w:right w:type="dxa" w:w="200"/>
            </w:tcMar>
          </w:tcPr>
          <w:p>
            <w:pPr>
              <w:spacing w:before="0" w:after="0"/>
            </w:pPr>
            <w:r>
              <w:rPr>
                <w:rFonts w:ascii="Consolas" w:cs="Consolas" w:eastAsia="Consolas" w:hAnsi="Consolas"/>
                <w:color w:val="1E1E1E"/>
                <w:sz w:val="17"/>
                <w:szCs w:val="17"/>
              </w:rPr>
              <w:t xml:space="preserve">A.1 Retornos Logarítmicos:     r_t = ln(P_t / P_{t-1})</w:t>
            </w:r>
          </w:p>
          <w:p>
            <w:pPr>
              <w:spacing w:before="0" w:after="0"/>
            </w:pPr>
            <w:r>
              <w:rPr>
                <w:rFonts w:ascii="Consolas" w:cs="Consolas" w:eastAsia="Consolas" w:hAnsi="Consolas"/>
                <w:color w:val="1E1E1E"/>
                <w:sz w:val="17"/>
                <w:szCs w:val="17"/>
              </w:rPr>
              <w:t xml:space="preserve">A.2 Volatilidad Realizada:     σ = √(Σ(r_t - r̄)² / (n - 1))</w:t>
            </w:r>
          </w:p>
          <w:p>
            <w:pPr>
              <w:spacing w:before="0" w:after="0"/>
            </w:pPr>
            <w:r>
              <w:rPr>
                <w:rFonts w:ascii="Consolas" w:cs="Consolas" w:eastAsia="Consolas" w:hAnsi="Consolas"/>
                <w:color w:val="1E1E1E"/>
                <w:sz w:val="17"/>
                <w:szCs w:val="17"/>
              </w:rPr>
              <w:t xml:space="preserve">A.3 Correlación:               ρ_xy = Cov(X,Y) / (σ_x × σ_y)</w:t>
            </w:r>
          </w:p>
          <w:p>
            <w:pPr>
              <w:spacing w:before="0" w:after="0"/>
            </w:pPr>
            <w:r>
              <w:rPr>
                <w:rFonts w:ascii="Consolas" w:cs="Consolas" w:eastAsia="Consolas" w:hAnsi="Consolas"/>
                <w:color w:val="1E1E1E"/>
                <w:sz w:val="17"/>
                <w:szCs w:val="17"/>
              </w:rPr>
              <w:t xml:space="preserve">A.4 Beta:                      β_i = Cov(r_i, r_m) / Var(r_m)</w:t>
            </w:r>
          </w:p>
        </w:tc>
      </w:tr>
    </w:tbl>
    <w:p>
      <w:pPr>
        <w:pStyle w:val="Heading2"/>
        <w:spacing w:before="240" w:after="120"/>
      </w:pPr>
      <w:r>
        <w:rPr>
          <w:rFonts w:ascii="Arial" w:cs="Arial" w:eastAsia="Arial" w:hAnsi="Arial"/>
          <w:b/>
          <w:bCs/>
          <w:color w:val="1B2A4A"/>
          <w:sz w:val="26"/>
          <w:szCs w:val="26"/>
        </w:rPr>
        <w:t xml:space="preserve">Anexo B: Códigos de Sectores</w:t>
      </w:r>
    </w:p>
    <w:p>
      <w:pPr>
        <w:pStyle w:val="Heading2"/>
      </w:pPr>
      <w:r>
        <w:t>GICS:</w:t>
      </w:r>
    </w:p>
    <w:p>
      <w:pPr>
        <w:pStyle w:val="Heading2"/>
      </w:pPr>
      <w:r>
        <w:t>10 Energía</w:t>
      </w:r>
    </w:p>
    <w:p>
      <w:pPr>
        <w:pStyle w:val="Heading2"/>
      </w:pPr>
      <w:r>
        <w:t>15 Materiales</w:t>
      </w:r>
    </w:p>
    <w:p>
      <w:pPr>
        <w:pStyle w:val="Heading2"/>
      </w:pPr>
      <w:r>
        <w:t>20 Industriales</w:t>
      </w:r>
    </w:p>
    <w:p>
      <w:pPr>
        <w:pStyle w:val="Heading2"/>
      </w:pPr>
      <w:r>
        <w:t>25 Consumo discrecional</w:t>
      </w:r>
    </w:p>
    <w:p>
      <w:pPr>
        <w:pStyle w:val="Heading2"/>
      </w:pPr>
      <w:r>
        <w:t>30 Consumo básico</w:t>
      </w:r>
    </w:p>
    <w:p>
      <w:pPr>
        <w:pStyle w:val="Heading2"/>
      </w:pPr>
      <w:r>
        <w:t>35 Salud</w:t>
      </w:r>
    </w:p>
    <w:p>
      <w:pPr>
        <w:pStyle w:val="Heading2"/>
      </w:pPr>
      <w:r>
        <w:t>40 Financieros</w:t>
      </w:r>
    </w:p>
    <w:p>
      <w:pPr>
        <w:pStyle w:val="Heading2"/>
      </w:pPr>
      <w:r>
        <w:t>45 Tecnología</w:t>
      </w:r>
    </w:p>
    <w:p>
      <w:pPr>
        <w:pStyle w:val="Heading2"/>
      </w:pPr>
      <w:r>
        <w:t>50 Servicios de comunicación</w:t>
      </w:r>
    </w:p>
    <w:p>
      <w:pPr>
        <w:pStyle w:val="Heading2"/>
      </w:pPr>
      <w:r>
        <w:t>55 Utilities</w:t>
      </w:r>
    </w:p>
    <w:p>
      <w:pPr>
        <w:pStyle w:val="Heading2"/>
      </w:pPr>
      <w:r>
        <w:t>60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rPr>
          <w:tblHeader/>
        </w:trPr>
        <w:tc>
          <w:tcPr>
            <w:tcW w:type="dxa" w:w="1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Código</w:t>
            </w:r>
          </w:p>
        </w:tc>
        <w:tc>
          <w:tcPr>
            <w:tcW w:type="dxa" w:w="32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Sector</w:t>
            </w:r>
          </w:p>
        </w:tc>
        <w:tc>
          <w:tcPr>
            <w:tcW w:type="dxa" w:w="1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Código</w:t>
            </w:r>
          </w:p>
        </w:tc>
        <w:tc>
          <w:tcPr>
            <w:tcW w:type="dxa" w:w="32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Sector</w:t>
            </w:r>
          </w:p>
        </w:tc>
      </w:tr>
      <w:tr>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TECH</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Tecnología</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CONC</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Consumo Cíclico</w:t>
            </w:r>
          </w:p>
        </w:tc>
      </w:tr>
      <w:tr>
        <w:tc>
          <w:tcPr>
            <w:tcW w:type="dxa" w:w="14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FIN</w:t>
            </w:r>
          </w:p>
        </w:tc>
        <w:tc>
          <w:tcPr>
            <w:tcW w:type="dxa" w:w="328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Financieros</w:t>
            </w:r>
          </w:p>
        </w:tc>
        <w:tc>
          <w:tcPr>
            <w:tcW w:type="dxa" w:w="14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IND</w:t>
            </w:r>
          </w:p>
        </w:tc>
        <w:tc>
          <w:tcPr>
            <w:tcW w:type="dxa" w:w="328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Industriales</w:t>
            </w:r>
          </w:p>
        </w:tc>
      </w:tr>
      <w:tr>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HLTH</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Salud</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ENRG</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Energía</w:t>
            </w:r>
          </w:p>
        </w:tc>
      </w:tr>
      <w:tr>
        <w:tc>
          <w:tcPr>
            <w:tcW w:type="dxa" w:w="14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COND</w:t>
            </w:r>
          </w:p>
        </w:tc>
        <w:tc>
          <w:tcPr>
            <w:tcW w:type="dxa" w:w="328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Consumo Defensivo</w:t>
            </w:r>
          </w:p>
        </w:tc>
        <w:tc>
          <w:tcPr>
            <w:tcW w:type="dxa" w:w="14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TEL</w:t>
            </w:r>
          </w:p>
        </w:tc>
        <w:tc>
          <w:tcPr>
            <w:tcW w:type="dxa" w:w="328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Telecomunicaciones</w:t>
            </w:r>
          </w:p>
        </w:tc>
      </w:tr>
      <w:tr>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MAT</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Materiales</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UTIL</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Servicios Públicos</w:t>
            </w:r>
          </w:p>
        </w:tc>
      </w:tr>
    </w:tbl>
    <w:p>
      <w:pPr>
        <w:pStyle w:val="Heading2"/>
        <w:spacing w:before="240" w:after="120"/>
      </w:pPr>
      <w:r>
        <w:rPr>
          <w:rFonts w:ascii="Arial" w:cs="Arial" w:eastAsia="Arial" w:hAnsi="Arial"/>
          <w:b/>
          <w:bCs/>
          <w:color w:val="1B2A4A"/>
          <w:sz w:val="26"/>
          <w:szCs w:val="26"/>
        </w:rPr>
        <w:t xml:space="preserve">Anexo C: Calendario de Días No Hábiles (NYSE)</w:t>
      </w:r>
    </w:p>
    <w:p>
      <w:pPr>
        <w:pStyle w:val="ListParagraph"/>
        <w:numPr>
          <w:ilvl w:val="0"/>
          <w:numId w:val="2"/>
        </w:numPr>
        <w:spacing w:before="40" w:after="40"/>
      </w:pPr>
      <w:r>
        <w:rPr>
          <w:rFonts w:ascii="Arial" w:cs="Arial" w:eastAsia="Arial" w:hAnsi="Arial"/>
          <w:color w:val="1E1E1E"/>
          <w:sz w:val="21"/>
          <w:szCs w:val="21"/>
        </w:rPr>
        <w:t xml:space="preserve">Año Nuevo (1 de enero)</w:t>
      </w:r>
    </w:p>
    <w:p>
      <w:pPr>
        <w:pStyle w:val="ListParagraph"/>
        <w:numPr>
          <w:ilvl w:val="0"/>
          <w:numId w:val="2"/>
        </w:numPr>
        <w:spacing w:before="40" w:after="40"/>
      </w:pPr>
      <w:r>
        <w:rPr>
          <w:rFonts w:ascii="Arial" w:cs="Arial" w:eastAsia="Arial" w:hAnsi="Arial"/>
          <w:color w:val="1E1E1E"/>
          <w:sz w:val="21"/>
          <w:szCs w:val="21"/>
        </w:rPr>
        <w:t xml:space="preserve">Martin Luther King Jr. Day (3er lunes de enero)</w:t>
      </w:r>
    </w:p>
    <w:p>
      <w:pPr>
        <w:pStyle w:val="ListParagraph"/>
        <w:numPr>
          <w:ilvl w:val="0"/>
          <w:numId w:val="2"/>
        </w:numPr>
        <w:spacing w:before="40" w:after="40"/>
      </w:pPr>
      <w:r>
        <w:rPr>
          <w:rFonts w:ascii="Arial" w:cs="Arial" w:eastAsia="Arial" w:hAnsi="Arial"/>
          <w:color w:val="1E1E1E"/>
          <w:sz w:val="21"/>
          <w:szCs w:val="21"/>
        </w:rPr>
        <w:t xml:space="preserve">Presidents' Day (3er lunes de febrero)</w:t>
      </w:r>
    </w:p>
    <w:p>
      <w:pPr>
        <w:pStyle w:val="ListParagraph"/>
        <w:numPr>
          <w:ilvl w:val="0"/>
          <w:numId w:val="2"/>
        </w:numPr>
        <w:spacing w:before="40" w:after="40"/>
      </w:pPr>
      <w:r>
        <w:rPr>
          <w:rFonts w:ascii="Arial" w:cs="Arial" w:eastAsia="Arial" w:hAnsi="Arial"/>
          <w:color w:val="1E1E1E"/>
          <w:sz w:val="21"/>
          <w:szCs w:val="21"/>
        </w:rPr>
        <w:t xml:space="preserve">Good Friday (viernes antes de Pascua)</w:t>
      </w:r>
    </w:p>
    <w:p>
      <w:pPr>
        <w:pStyle w:val="ListParagraph"/>
        <w:numPr>
          <w:ilvl w:val="0"/>
          <w:numId w:val="2"/>
        </w:numPr>
        <w:spacing w:before="40" w:after="40"/>
      </w:pPr>
      <w:r>
        <w:rPr>
          <w:rFonts w:ascii="Arial" w:cs="Arial" w:eastAsia="Arial" w:hAnsi="Arial"/>
          <w:color w:val="1E1E1E"/>
          <w:sz w:val="21"/>
          <w:szCs w:val="21"/>
        </w:rPr>
        <w:t xml:space="preserve">Memorial Day (último lunes de mayo)</w:t>
      </w:r>
    </w:p>
    <w:p>
      <w:pPr>
        <w:pStyle w:val="ListParagraph"/>
        <w:numPr>
          <w:ilvl w:val="0"/>
          <w:numId w:val="2"/>
        </w:numPr>
        <w:spacing w:before="40" w:after="40"/>
      </w:pPr>
      <w:r>
        <w:rPr>
          <w:rFonts w:ascii="Arial" w:cs="Arial" w:eastAsia="Arial" w:hAnsi="Arial"/>
          <w:color w:val="1E1E1E"/>
          <w:sz w:val="21"/>
          <w:szCs w:val="21"/>
        </w:rPr>
        <w:t xml:space="preserve">Juneteenth (19 de junio)</w:t>
      </w:r>
    </w:p>
    <w:p>
      <w:pPr>
        <w:pStyle w:val="ListParagraph"/>
        <w:numPr>
          <w:ilvl w:val="0"/>
          <w:numId w:val="2"/>
        </w:numPr>
        <w:spacing w:before="40" w:after="40"/>
      </w:pPr>
      <w:r>
        <w:rPr>
          <w:rFonts w:ascii="Arial" w:cs="Arial" w:eastAsia="Arial" w:hAnsi="Arial"/>
          <w:color w:val="1E1E1E"/>
          <w:sz w:val="21"/>
          <w:szCs w:val="21"/>
        </w:rPr>
        <w:t xml:space="preserve">Independence Day (4 de julio)</w:t>
      </w:r>
    </w:p>
    <w:p>
      <w:pPr>
        <w:pStyle w:val="ListParagraph"/>
        <w:numPr>
          <w:ilvl w:val="0"/>
          <w:numId w:val="2"/>
        </w:numPr>
        <w:spacing w:before="40" w:after="40"/>
      </w:pPr>
      <w:r>
        <w:rPr>
          <w:rFonts w:ascii="Arial" w:cs="Arial" w:eastAsia="Arial" w:hAnsi="Arial"/>
          <w:color w:val="1E1E1E"/>
          <w:sz w:val="21"/>
          <w:szCs w:val="21"/>
        </w:rPr>
        <w:t xml:space="preserve">Labor Day (1er lunes de septiembre)</w:t>
      </w:r>
    </w:p>
    <w:p>
      <w:pPr>
        <w:pStyle w:val="ListParagraph"/>
        <w:numPr>
          <w:ilvl w:val="0"/>
          <w:numId w:val="2"/>
        </w:numPr>
        <w:spacing w:before="40" w:after="40"/>
      </w:pPr>
      <w:r>
        <w:rPr>
          <w:rFonts w:ascii="Arial" w:cs="Arial" w:eastAsia="Arial" w:hAnsi="Arial"/>
          <w:color w:val="1E1E1E"/>
          <w:sz w:val="21"/>
          <w:szCs w:val="21"/>
        </w:rPr>
        <w:t xml:space="preserve">Thanksgiving (4to jueves de noviembre)</w:t>
      </w:r>
    </w:p>
    <w:p>
      <w:pPr>
        <w:pStyle w:val="ListParagraph"/>
        <w:numPr>
          <w:ilvl w:val="0"/>
          <w:numId w:val="2"/>
        </w:numPr>
        <w:spacing w:before="40" w:after="40"/>
      </w:pPr>
      <w:r>
        <w:rPr>
          <w:rFonts w:ascii="Arial" w:cs="Arial" w:eastAsia="Arial" w:hAnsi="Arial"/>
          <w:color w:val="1E1E1E"/>
          <w:sz w:val="21"/>
          <w:szCs w:val="21"/>
        </w:rPr>
        <w:t xml:space="preserve">Christmas (25 de diciembre)</w:t>
      </w:r>
    </w:p>
    <w:p>
      <w:pPr>
        <w:pStyle w:val="Heading2"/>
        <w:spacing w:before="240" w:after="120"/>
      </w:pPr>
      <w:r>
        <w:rPr>
          <w:rFonts w:ascii="Arial" w:cs="Arial" w:eastAsia="Arial" w:hAnsi="Arial"/>
          <w:b/>
          <w:bCs/>
          <w:color w:val="1B2A4A"/>
          <w:sz w:val="26"/>
          <w:szCs w:val="26"/>
        </w:rPr>
        <w:t xml:space="preserve">Anexo D: Glosario de Términos</w:t>
      </w:r>
    </w:p>
    <w:p>
      <w:pPr>
        <w:spacing w:before="80" w:after="60"/>
      </w:pPr>
      <w:r>
        <w:rPr>
          <w:rFonts w:ascii="Arial" w:cs="Arial" w:eastAsia="Arial" w:hAnsi="Arial"/>
          <w:b/>
          <w:bCs/>
          <w:color w:val="1E1E1E"/>
          <w:sz w:val="21"/>
          <w:szCs w:val="21"/>
        </w:rPr>
        <w:t xml:space="preserve">Composite Score: </w:t>
      </w:r>
      <w:r>
        <w:rPr>
          <w:rFonts w:ascii="Arial" w:cs="Arial" w:eastAsia="Arial" w:hAnsi="Arial"/>
          <w:color w:val="1E1E1E"/>
          <w:sz w:val="21"/>
          <w:szCs w:val="21"/>
        </w:rPr>
        <w:t xml:space="preserve">Puntuación ponderada que combina Value, Quality y Momentum.</w:t>
      </w:r>
    </w:p>
    <w:p>
      <w:pPr>
        <w:spacing w:before="80" w:after="60"/>
      </w:pPr>
      <w:r>
        <w:rPr>
          <w:rFonts w:ascii="Arial" w:cs="Arial" w:eastAsia="Arial" w:hAnsi="Arial"/>
          <w:b/>
          <w:bCs/>
          <w:color w:val="1E1E1E"/>
          <w:sz w:val="21"/>
          <w:szCs w:val="21"/>
        </w:rPr>
        <w:t xml:space="preserve">Drawdown: </w:t>
      </w:r>
      <w:r>
        <w:rPr>
          <w:rFonts w:ascii="Arial" w:cs="Arial" w:eastAsia="Arial" w:hAnsi="Arial"/>
          <w:color w:val="1E1E1E"/>
          <w:sz w:val="21"/>
          <w:szCs w:val="21"/>
        </w:rPr>
        <w:t xml:space="preserve">Pérdida máxima desde un pico hasta un valle.</w:t>
      </w:r>
    </w:p>
    <w:p>
      <w:pPr>
        <w:spacing w:before="80" w:after="60"/>
      </w:pPr>
      <w:r>
        <w:rPr>
          <w:rFonts w:ascii="Arial" w:cs="Arial" w:eastAsia="Arial" w:hAnsi="Arial"/>
          <w:b/>
          <w:bCs/>
          <w:color w:val="1E1E1E"/>
          <w:sz w:val="21"/>
          <w:szCs w:val="21"/>
        </w:rPr>
        <w:t xml:space="preserve">Hold Time: </w:t>
      </w:r>
      <w:r>
        <w:rPr>
          <w:rFonts w:ascii="Arial" w:cs="Arial" w:eastAsia="Arial" w:hAnsi="Arial"/>
          <w:color w:val="1E1E1E"/>
          <w:sz w:val="21"/>
          <w:szCs w:val="21"/>
        </w:rPr>
        <w:t xml:space="preserve">Tiempo que se mantiene una posición (666 minutos en OMNICAPITAL).</w:t>
      </w:r>
    </w:p>
    <w:p>
      <w:pPr>
        <w:spacing w:before="80" w:after="60"/>
      </w:pPr>
      <w:r>
        <w:rPr>
          <w:rFonts w:ascii="Arial" w:cs="Arial" w:eastAsia="Arial" w:hAnsi="Arial"/>
          <w:b/>
          <w:bCs/>
          <w:color w:val="1E1E1E"/>
          <w:sz w:val="21"/>
          <w:szCs w:val="21"/>
        </w:rPr>
        <w:t xml:space="preserve">Overnight Premium: </w:t>
      </w:r>
      <w:r>
        <w:rPr>
          <w:rFonts w:ascii="Arial" w:cs="Arial" w:eastAsia="Arial" w:hAnsi="Arial"/>
          <w:color w:val="1E1E1E"/>
          <w:sz w:val="21"/>
          <w:szCs w:val="21"/>
        </w:rPr>
        <w:t xml:space="preserve">Retorno promedio entre cierre y apertura siguiente.</w:t>
      </w:r>
    </w:p>
    <w:p>
      <w:pPr>
        <w:spacing w:before="80" w:after="60"/>
      </w:pPr>
      <w:r>
        <w:rPr>
          <w:rFonts w:ascii="Arial" w:cs="Arial" w:eastAsia="Arial" w:hAnsi="Arial"/>
          <w:b/>
          <w:bCs/>
          <w:color w:val="1E1E1E"/>
          <w:sz w:val="21"/>
          <w:szCs w:val="21"/>
        </w:rPr>
        <w:t xml:space="preserve">Risk Parity: </w:t>
      </w:r>
      <w:r>
        <w:rPr>
          <w:rFonts w:ascii="Arial" w:cs="Arial" w:eastAsia="Arial" w:hAnsi="Arial"/>
          <w:color w:val="1E1E1E"/>
          <w:sz w:val="21"/>
          <w:szCs w:val="21"/>
        </w:rPr>
        <w:t xml:space="preserve">Método de sizing que asigna capital inversamente proporcional a la volatilidad.</w:t>
      </w:r>
    </w:p>
    <w:p>
      <w:pPr>
        <w:spacing w:before="80" w:after="60"/>
      </w:pPr>
      <w:r>
        <w:rPr>
          <w:rFonts w:ascii="Arial" w:cs="Arial" w:eastAsia="Arial" w:hAnsi="Arial"/>
          <w:b/>
          <w:bCs/>
          <w:color w:val="1E1E1E"/>
          <w:sz w:val="21"/>
          <w:szCs w:val="21"/>
        </w:rPr>
        <w:t xml:space="preserve">Rebalanceo: </w:t>
      </w:r>
      <w:r>
        <w:rPr>
          <w:rFonts w:ascii="Arial" w:cs="Arial" w:eastAsia="Arial" w:hAnsi="Arial"/>
          <w:color w:val="1E1E1E"/>
          <w:sz w:val="21"/>
          <w:szCs w:val="21"/>
        </w:rPr>
        <w:t xml:space="preserve">Proceso de ajustar el portafolio según nuevas señales.</w:t>
      </w:r>
    </w:p>
    <w:p>
      <w:pPr>
        <w:spacing w:before="80" w:after="60"/>
      </w:pPr>
      <w:r>
        <w:rPr>
          <w:rFonts w:ascii="Arial" w:cs="Arial" w:eastAsia="Arial" w:hAnsi="Arial"/>
          <w:b/>
          <w:bCs/>
          <w:color w:val="1E1E1E"/>
          <w:sz w:val="21"/>
          <w:szCs w:val="21"/>
        </w:rPr>
        <w:t xml:space="preserve">Win Rate: </w:t>
      </w:r>
      <w:r>
        <w:rPr>
          <w:rFonts w:ascii="Arial" w:cs="Arial" w:eastAsia="Arial" w:hAnsi="Arial"/>
          <w:color w:val="1E1E1E"/>
          <w:sz w:val="21"/>
          <w:szCs w:val="21"/>
        </w:rPr>
        <w:t xml:space="preserve">Porcentaje de operaciones ganadoras.</w:t>
      </w:r>
    </w:p>
    <w:p>
      <w:pPr>
        <w:pStyle w:val="Heading2"/>
        <w:spacing w:before="240" w:after="120"/>
      </w:pPr>
      <w:r>
        <w:rPr>
          <w:rFonts w:ascii="Arial" w:cs="Arial" w:eastAsia="Arial" w:hAnsi="Arial"/>
          <w:b/>
          <w:bCs/>
          <w:color w:val="1B2A4A"/>
          <w:sz w:val="26"/>
          <w:szCs w:val="26"/>
        </w:rPr>
        <w:t xml:space="preserve">Anexo E: Historial de Versiones del Sistema</w:t>
      </w:r>
    </w:p>
    <w:p>
      <w:pPr>
        <w:pStyle w:val="Heading2"/>
      </w:pPr>
      <w:r>
        <w:t>Anexo F: Protocolo de Backtesting y Reproducibilidad</w:t>
      </w:r>
    </w:p>
    <w:p>
      <w:pPr>
        <w:pStyle w:val="Heading2"/>
      </w:pPr>
    </w:p>
    <w:p>
      <w:pPr>
        <w:pStyle w:val="Heading2"/>
      </w:pPr>
      <w:r>
        <w:t>F.1 Datos</w:t>
      </w:r>
    </w:p>
    <w:p>
      <w:pPr>
        <w:pStyle w:val="Heading2"/>
      </w:pPr>
      <w:r>
        <w:t>Precios: usar series ajustadas por splits y dividendos (total return) o documentar explícitamente si se usa price return.</w:t>
      </w:r>
    </w:p>
    <w:p>
      <w:pPr>
        <w:pStyle w:val="Heading2"/>
      </w:pPr>
      <w:r>
        <w:t>Fundamentales: preferir datos point-in-time. Si no se dispone, declarar riesgo de lookahead y limitar conclusiones.</w:t>
      </w:r>
    </w:p>
    <w:p>
      <w:pPr>
        <w:pStyle w:val="Heading2"/>
      </w:pPr>
      <w:r>
        <w:t>Acciones corporativas: registrar cambios de ticker, fusiones y spin-offs; mantener mapeo histórico.</w:t>
      </w:r>
    </w:p>
    <w:p>
      <w:pPr>
        <w:pStyle w:val="Heading2"/>
      </w:pPr>
    </w:p>
    <w:p>
      <w:pPr>
        <w:pStyle w:val="Heading2"/>
      </w:pPr>
      <w:r>
        <w:t>F.2 Ejecución y costos</w:t>
      </w:r>
    </w:p>
    <w:p>
      <w:pPr>
        <w:pStyle w:val="Heading2"/>
      </w:pPr>
      <w:r>
        <w:t>Modelo de fill: definir si se usa mid, bid/ask o last; incluir slippage y comisiones.</w:t>
      </w:r>
    </w:p>
    <w:p>
      <w:pPr>
        <w:pStyle w:val="Heading2"/>
      </w:pPr>
      <w:r>
        <w:t>Costos mínimos a reportar: comisiones, spread estimado, slippage (por liquidez) y turnover.</w:t>
      </w:r>
    </w:p>
    <w:p>
      <w:pPr>
        <w:pStyle w:val="Heading2"/>
      </w:pPr>
    </w:p>
    <w:p>
      <w:pPr>
        <w:pStyle w:val="Heading2"/>
      </w:pPr>
      <w:r>
        <w:t>F.3 Universo y sesgos</w:t>
      </w:r>
    </w:p>
    <w:p>
      <w:pPr>
        <w:pStyle w:val="Heading2"/>
      </w:pPr>
      <w:r>
        <w:t>Universo point-in-time (preferido) o declaración explícita de survivorship bias si el universo es fijo.</w:t>
      </w:r>
    </w:p>
    <w:p>
      <w:pPr>
        <w:pStyle w:val="Heading2"/>
      </w:pPr>
    </w:p>
    <w:p>
      <w:pPr>
        <w:pStyle w:val="Heading2"/>
      </w:pPr>
      <w:r>
        <w:t>F.4 Validación</w:t>
      </w:r>
    </w:p>
    <w:p>
      <w:pPr>
        <w:pStyle w:val="Heading2"/>
      </w:pPr>
      <w:r>
        <w:t>Separar in-sample vs out-of-sample (walk-forward) y reportar resultados por subperiodos.</w:t>
      </w:r>
    </w:p>
    <w:p>
      <w:pPr>
        <w:pStyle w:val="Heading2"/>
      </w:pPr>
      <w:r>
        <w:t>Pruebas de robustez: sensibilidad de parámetros y pruebas por régimen (ver 11.6).</w:t>
      </w:r>
    </w:p>
    <w:p>
      <w:pPr>
        <w:pStyle w:val="Heading2"/>
      </w:pPr>
    </w:p>
    <w:p>
      <w:pPr>
        <w:pStyle w:val="Heading2"/>
      </w:pPr>
      <w:r>
        <w:t>F.5 Reproducibilidad</w:t>
      </w:r>
    </w:p>
    <w:p>
      <w:pPr>
        <w:pStyle w:val="Heading2"/>
      </w:pPr>
      <w:r>
        <w:t>Guardar: snapshot de datos (o hashes), versión de código, parámetros y semilla aleatoria (si aplica).</w:t>
      </w:r>
    </w:p>
    <w:p>
      <w:pPr>
        <w:pStyle w:val="Heading2"/>
      </w:pPr>
      <w:r>
        <w:t>El resultado debe poder re-ejecutarse y obtener el mismo output numérico dentro de tolerancias definidas.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800"/>
        <w:gridCol w:w="2440"/>
      </w:tblGrid>
      <w:tr>
        <w:trPr>
          <w:tblHeader/>
        </w:trPr>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Versión</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Fecha</w:t>
            </w:r>
          </w:p>
        </w:tc>
        <w:tc>
          <w:tcPr>
            <w:tcW w:type="dxa" w:w="3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Descripción</w:t>
            </w:r>
          </w:p>
        </w:tc>
        <w:tc>
          <w:tcPr>
            <w:tcW w:type="dxa" w:w="24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before="20" w:after="20"/>
              <w:jc w:val="center"/>
            </w:pPr>
            <w:r>
              <w:rPr>
                <w:rFonts w:ascii="Arial" w:cs="Arial" w:eastAsia="Arial" w:hAnsi="Arial"/>
                <w:b/>
                <w:bCs/>
                <w:color w:val="FFFFFF"/>
                <w:sz w:val="19"/>
                <w:szCs w:val="19"/>
              </w:rPr>
              <w:t xml:space="preserve">CAGR</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v1.0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2024</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Value-First Strategy</w:t>
            </w:r>
          </w:p>
        </w:tc>
        <w:tc>
          <w:tcPr>
            <w:tcW w:type="dxa" w:w="24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6–8%</w:t>
            </w:r>
          </w:p>
        </w:tc>
      </w:tr>
      <w:tr>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v2.0</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2024</w:t>
            </w:r>
          </w:p>
        </w:tc>
        <w:tc>
          <w:tcPr>
            <w:tcW w:type="dxa" w:w="3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Multi-Strategy Ensemble</w:t>
            </w:r>
          </w:p>
        </w:tc>
        <w:tc>
          <w:tcPr>
            <w:tcW w:type="dxa" w:w="24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6.27%</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v3.0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2025</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Consolidated V+Q+M</w:t>
            </w:r>
          </w:p>
        </w:tc>
        <w:tc>
          <w:tcPr>
            <w:tcW w:type="dxa" w:w="24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3.80%</w:t>
            </w:r>
          </w:p>
        </w:tc>
      </w:tr>
      <w:tr>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v4.0</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2025</w:t>
            </w:r>
          </w:p>
        </w:tc>
        <w:tc>
          <w:tcPr>
            <w:tcW w:type="dxa" w:w="3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MicroManagement</w:t>
            </w:r>
          </w:p>
        </w:tc>
        <w:tc>
          <w:tcPr>
            <w:tcW w:type="dxa" w:w="24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2.05%</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v5.0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2025</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3-Day Hold (FALLIDO)</w:t>
            </w:r>
          </w:p>
        </w:tc>
        <w:tc>
          <w:tcPr>
            <w:tcW w:type="dxa" w:w="24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-8.46%</w:t>
            </w:r>
          </w:p>
        </w:tc>
      </w:tr>
      <w:tr>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left"/>
            </w:pPr>
            <w:r>
              <w:rPr>
                <w:rFonts w:ascii="Arial" w:cs="Arial" w:eastAsia="Arial" w:hAnsi="Arial"/>
                <w:b w:val="false"/>
                <w:bCs w:val="false"/>
                <w:color w:val="1E1E1E"/>
                <w:sz w:val="19"/>
                <w:szCs w:val="19"/>
              </w:rPr>
              <w:t xml:space="preserve">v6.0</w:t>
            </w:r>
          </w:p>
        </w:tc>
        <w:tc>
          <w:tcPr>
            <w:tcW w:type="dxa" w:w="156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2026</w:t>
            </w:r>
          </w:p>
        </w:tc>
        <w:tc>
          <w:tcPr>
            <w:tcW w:type="dxa" w:w="380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Random + Exact 666</w:t>
            </w:r>
          </w:p>
        </w:tc>
        <w:tc>
          <w:tcPr>
            <w:tcW w:type="dxa" w:w="2440"/>
            <w:tcBorders>
              <w:top w:val="single" w:color="B0C4D8" w:sz="1"/>
              <w:left w:val="single" w:color="B0C4D8" w:sz="1"/>
              <w:bottom w:val="single" w:color="B0C4D8" w:sz="1"/>
              <w:right w:val="single" w:color="B0C4D8" w:sz="1"/>
            </w:tcBorders>
            <w:shd w:fill="F7FAFC"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12.82%</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left"/>
            </w:pPr>
            <w:r>
              <w:rPr>
                <w:rFonts w:ascii="Arial" w:cs="Arial" w:eastAsia="Arial" w:hAnsi="Arial"/>
                <w:b/>
                <w:bCs/>
                <w:color w:val="1E1E1E"/>
                <w:sz w:val="19"/>
                <w:szCs w:val="19"/>
              </w:rPr>
              <w:t xml:space="preserve">v7.0</w:t>
            </w:r>
          </w:p>
        </w:tc>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2026</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Hybrid Value+666</w:t>
            </w:r>
          </w:p>
        </w:tc>
        <w:tc>
          <w:tcPr>
            <w:tcW w:type="dxa" w:w="244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before="20" w:after="20"/>
              <w:jc w:val="center"/>
            </w:pPr>
            <w:r>
              <w:rPr>
                <w:rFonts w:ascii="Arial" w:cs="Arial" w:eastAsia="Arial" w:hAnsi="Arial"/>
                <w:b w:val="false"/>
                <w:bCs w:val="false"/>
                <w:color w:val="1E1E1E"/>
                <w:sz w:val="19"/>
                <w:szCs w:val="19"/>
              </w:rPr>
              <w:t xml:space="preserve">17.09%</w:t>
            </w:r>
          </w:p>
        </w:tc>
      </w:tr>
      <w:tr>
        <w:tc>
          <w:tcPr>
            <w:tcW w:type="dxa" w:w="1560"/>
          </w:tcPr>
          <w:p>
            <w:r>
              <w:t>v7.0.1</w:t>
            </w:r>
          </w:p>
        </w:tc>
        <w:tc>
          <w:tcPr>
            <w:tcW w:type="dxa" w:w="1560"/>
          </w:tcPr>
          <w:p>
            <w:r>
              <w:t>2026</w:t>
            </w:r>
          </w:p>
        </w:tc>
        <w:tc>
          <w:tcPr>
            <w:tcW w:type="dxa" w:w="3800"/>
          </w:tcPr>
          <w:p>
            <w:r>
              <w:t>Clarificación de definición de riesgo (ES/GAP), protocolo de excepciones (8.5), y protocolo de backtesting/reproducibilidad (Anexo F). Ajustes de scoring para continuidad y manejo de datos faltantes.</w:t>
            </w:r>
          </w:p>
        </w:tc>
        <w:tc>
          <w:tcPr>
            <w:tcW w:type="dxa" w:w="2440"/>
          </w:tcPr>
          <w:p>
            <w:r>
              <w:t>17.09% (sin cambios)</w:t>
            </w:r>
          </w:p>
        </w:tc>
      </w:tr>
    </w:tbl>
    <w:p>
      <w:r>
        <w:br/>
      </w:r>
    </w:p>
    <w:p>
      <w:pPr>
        <w:pBdr>
          <w:bottom w:val="single" w:color="2E86AB" w:sz="2" w:space="8"/>
        </w:pBdr>
        <w:spacing w:before="200" w:after="200"/>
      </w:pPr>
    </w:p>
    <w:p>
      <w:pPr>
        <w:spacing w:before="100" w:after="100"/>
      </w:pPr>
    </w:p>
    <w:p>
      <w:pPr>
        <w:spacing w:before="0" w:after="200"/>
        <w:jc w:val="center"/>
      </w:pPr>
      <w:r>
        <w:rPr>
          <w:rFonts w:ascii="Arial" w:cs="Arial" w:eastAsia="Arial" w:hAnsi="Arial"/>
          <w:b/>
          <w:bCs/>
          <w:color w:val="1B2A4A"/>
          <w:sz w:val="32"/>
          <w:szCs w:val="32"/>
        </w:rPr>
        <w:t xml:space="preserve">DECLARACIÓN FINAL</w:t>
      </w:r>
    </w:p>
    <w:p>
      <w:pPr>
        <w:spacing w:before="60" w:after="60"/>
      </w:pPr>
    </w:p>
    <w:p>
      <w:pPr>
        <w:spacing w:before="60" w:after="60"/>
        <w:jc w:val="left"/>
      </w:pPr>
      <w:r>
        <w:rPr>
          <w:rFonts w:ascii="Arial" w:cs="Arial" w:eastAsia="Arial" w:hAnsi="Arial"/>
          <w:b w:val="false"/>
          <w:bCs w:val="false"/>
          <w:i w:val="false"/>
          <w:iCs w:val="false"/>
          <w:color w:val="1E1E1E"/>
          <w:sz w:val="21"/>
          <w:szCs w:val="21"/>
        </w:rPr>
        <w:t xml:space="preserve">Este Manifiesto representa el estado actual del conocimiento y metodología de OMNICAPITAL. Cada regla aquí documentada ha sido:</w:t>
      </w:r>
    </w:p>
    <w:p>
      <w:pPr>
        <w:spacing w:before="40" w:after="40"/>
      </w:pPr>
    </w:p>
    <w:p>
      <w:pPr>
        <w:pStyle w:val="ListParagraph"/>
        <w:numPr>
          <w:ilvl w:val="0"/>
          <w:numId w:val="3"/>
        </w:numPr>
        <w:spacing w:before="40" w:after="40"/>
      </w:pPr>
      <w:r>
        <w:rPr>
          <w:rFonts w:ascii="Arial" w:cs="Arial" w:eastAsia="Arial" w:hAnsi="Arial"/>
          <w:color w:val="1E1E1E"/>
          <w:sz w:val="21"/>
          <w:szCs w:val="21"/>
        </w:rPr>
        <w:t xml:space="preserve">Diseñada con base en principios financieros sólidos</w:t>
      </w:r>
    </w:p>
    <w:p>
      <w:pPr>
        <w:pStyle w:val="ListParagraph"/>
        <w:numPr>
          <w:ilvl w:val="0"/>
          <w:numId w:val="3"/>
        </w:numPr>
        <w:spacing w:before="40" w:after="40"/>
      </w:pPr>
      <w:r>
        <w:t>Probada mediante backtesting riguroso (mínimo 20 años de datos; ver Anexo F)</w:t>
      </w:r>
    </w:p>
    <w:p>
      <w:pPr>
        <w:pStyle w:val="ListParagraph"/>
        <w:numPr>
          <w:ilvl w:val="0"/>
          <w:numId w:val="3"/>
        </w:numPr>
        <w:spacing w:before="40" w:after="40"/>
      </w:pPr>
      <w:r>
        <w:rPr>
          <w:rFonts w:ascii="Arial" w:cs="Arial" w:eastAsia="Arial" w:hAnsi="Arial"/>
          <w:color w:val="1E1E1E"/>
          <w:sz w:val="21"/>
          <w:szCs w:val="21"/>
        </w:rPr>
        <w:t xml:space="preserve">Validada contra múltiples regímenes de mercado</w:t>
      </w:r>
    </w:p>
    <w:p>
      <w:pPr>
        <w:pStyle w:val="ListParagraph"/>
        <w:numPr>
          <w:ilvl w:val="0"/>
          <w:numId w:val="3"/>
        </w:numPr>
        <w:spacing w:before="40" w:after="40"/>
      </w:pPr>
      <w:r>
        <w:rPr>
          <w:rFonts w:ascii="Arial" w:cs="Arial" w:eastAsia="Arial" w:hAnsi="Arial"/>
          <w:color w:val="1E1E1E"/>
          <w:sz w:val="21"/>
          <w:szCs w:val="21"/>
        </w:rPr>
        <w:t xml:space="preserve">Documentada para auditabilidad completa</w:t>
      </w:r>
    </w:p>
    <w:p>
      <w:pPr>
        <w:spacing w:before="100" w:after="100"/>
      </w:pPr>
    </w:p>
    <w:p>
      <w:pPr>
        <w:spacing w:before="60" w:after="60"/>
        <w:jc w:val="left"/>
      </w:pPr>
      <w:r>
        <w:rPr>
          <w:rFonts w:ascii="Arial" w:cs="Arial" w:eastAsia="Arial" w:hAnsi="Arial"/>
          <w:b w:val="false"/>
          <w:bCs w:val="false"/>
          <w:i w:val="false"/>
          <w:iCs w:val="false"/>
          <w:color w:val="1E1E1E"/>
          <w:sz w:val="21"/>
          <w:szCs w:val="21"/>
        </w:rPr>
        <w:t xml:space="preserve">El sistema no garantiza retornos futuros, pero garantiza transparencia, disciplina y gestión de riesgo sistemática.</w:t>
      </w:r>
    </w:p>
    <w:p>
      <w:pPr>
        <w:spacing w:before="200" w:after="200"/>
      </w:pPr>
    </w:p>
    <w:p>
      <w:pPr>
        <w:jc w:val="center"/>
      </w:pPr>
      <w:r>
        <w:rPr>
          <w:rFonts w:ascii="Arial" w:cs="Arial" w:eastAsia="Arial" w:hAnsi="Arial"/>
          <w:b/>
          <w:bCs/>
          <w:i/>
          <w:iCs/>
          <w:color w:val="D4A843"/>
          <w:sz w:val="28"/>
          <w:szCs w:val="28"/>
        </w:rPr>
        <w:t xml:space="preserve">“In Data We Trust”</w:t>
      </w:r>
    </w:p>
    <w:p>
      <w:pPr>
        <w:spacing w:before="200" w:after="200"/>
      </w:pPr>
    </w:p>
    <w:p>
      <w:pPr>
        <w:pBdr>
          <w:bottom w:val="single" w:color="2E86AB" w:sz="2" w:space="8"/>
        </w:pBdr>
        <w:spacing w:before="200" w:after="200"/>
      </w:pPr>
    </w:p>
    <w:p>
      <w:pPr>
        <w:spacing w:before="60" w:after="60"/>
      </w:pPr>
    </w:p>
    <w:p>
      <w:pPr>
        <w:jc w:val="center"/>
      </w:pPr>
      <w:r>
        <w:t>Documento versión 7.0.1 — Febrero 2026</w:t>
      </w:r>
    </w:p>
    <w:p>
      <w:pPr>
        <w:jc w:val="center"/>
      </w:pPr>
      <w:r>
        <w:rPr>
          <w:rFonts w:ascii="Arial" w:cs="Arial" w:eastAsia="Arial" w:hAnsi="Arial"/>
          <w:i/>
          <w:iCs/>
          <w:color w:val="4A5568"/>
          <w:sz w:val="18"/>
          <w:szCs w:val="18"/>
        </w:rPr>
        <w:t xml:space="preserve">Próxima revisión programada: Marzo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1" w:space="4"/>
      </w:pBdr>
      <w:jc w:val="center"/>
    </w:pPr>
    <w:r>
      <w:rPr>
        <w:rFonts w:ascii="Arial" w:cs="Arial" w:eastAsia="Arial" w:hAnsi="Arial"/>
        <w:color w:val="4A5568"/>
        <w:sz w:val="16"/>
        <w:szCs w:val="16"/>
      </w:rPr>
      <w:t xml:space="preserve">Página </w:t>
    </w:r>
    <w:r>
      <w:rPr>
        <w:rFonts w:ascii="Arial" w:cs="Arial" w:eastAsia="Arial" w:hAnsi="Arial"/>
        <w:color w:val="4A55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1" w:space="4"/>
      </w:pBdr>
      <w:jc w:val="center"/>
    </w:pPr>
    <w:r>
      <w:rPr>
        <w:rFonts w:ascii="Arial" w:cs="Arial" w:eastAsia="Arial" w:hAnsi="Arial"/>
        <w:color w:val="4A5568"/>
        <w:sz w:val="16"/>
        <w:szCs w:val="16"/>
      </w:rPr>
      <w:t xml:space="preserve">Página </w:t>
    </w:r>
    <w:r>
      <w:rPr>
        <w:rFonts w:ascii="Arial" w:cs="Arial" w:eastAsia="Arial" w:hAnsi="Arial"/>
        <w:color w:val="4A5568"/>
        <w:sz w:val="16"/>
        <w:szCs w:val="16"/>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OMNICAPITAL  |  Manifiesto v7.0.1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OMNICAPITAL  |  Manifiesto v7.0.1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6B8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2026-02-10T01:38:07.192Z</dcterms:created>
  <dcterms:modified xsi:type="dcterms:W3CDTF">2026-02-10T01:38:07.192Z</dcterms:modified>
</cp:coreProperties>
</file>

<file path=docProps/custom.xml><?xml version="1.0" encoding="utf-8"?>
<Properties xmlns="http://schemas.openxmlformats.org/officeDocument/2006/custom-properties" xmlns:vt="http://schemas.openxmlformats.org/officeDocument/2006/docPropsVTypes"/>
</file>