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609A" w14:textId="77777777" w:rsidR="00B001E6" w:rsidRPr="00BF7EBF" w:rsidRDefault="00000000">
      <w:pPr>
        <w:keepNext/>
        <w:spacing w:after="200"/>
        <w:jc w:val="center"/>
        <w:rPr>
          <w:lang w:val="pt-BR"/>
        </w:rPr>
      </w:pPr>
      <w:r w:rsidRPr="00BF7EBF">
        <w:rPr>
          <w:b/>
          <w:sz w:val="24"/>
          <w:lang w:val="pt-BR"/>
        </w:rPr>
        <w:t>SIMULAÇÃO DE DESEMPENHO, COMPORTAMENTO TÉRMICO E ESTABILIDADE DA 3DFX VOODOO GRAPHICS</w:t>
      </w:r>
    </w:p>
    <w:p w14:paraId="4909BDAD" w14:textId="6857CD5A" w:rsidR="00B001E6" w:rsidRPr="00BF7EBF" w:rsidRDefault="00BF7EBF">
      <w:pPr>
        <w:keepNext/>
        <w:spacing w:after="200"/>
        <w:jc w:val="center"/>
        <w:rPr>
          <w:lang w:val="pt-BR"/>
        </w:rPr>
      </w:pPr>
      <w:r>
        <w:rPr>
          <w:b/>
          <w:sz w:val="24"/>
          <w:lang w:val="pt-BR"/>
        </w:rPr>
        <w:t>Lucas Alves dos Santos</w:t>
      </w:r>
    </w:p>
    <w:p w14:paraId="15BE6580" w14:textId="6209AFF4" w:rsidR="00B001E6" w:rsidRPr="00BF7EBF" w:rsidRDefault="00BF7EBF">
      <w:pPr>
        <w:keepNext/>
        <w:spacing w:after="240"/>
        <w:jc w:val="center"/>
        <w:rPr>
          <w:lang w:val="pt-BR"/>
        </w:rPr>
      </w:pPr>
      <w:r>
        <w:rPr>
          <w:lang w:val="pt-BR"/>
        </w:rPr>
        <w:t>Universidade do Vale do Paraíba – Engenharia da Computação</w:t>
      </w:r>
      <w:r w:rsidR="00000000" w:rsidRPr="00BF7EBF">
        <w:rPr>
          <w:lang w:val="pt-BR"/>
        </w:rPr>
        <w:t xml:space="preserve">, </w:t>
      </w:r>
      <w:r>
        <w:rPr>
          <w:lang w:val="pt-BR"/>
        </w:rPr>
        <w:t>São José dos Campos - SP</w:t>
      </w:r>
      <w:r w:rsidR="00000000" w:rsidRPr="00BF7EBF">
        <w:rPr>
          <w:lang w:val="pt-BR"/>
        </w:rPr>
        <w:t xml:space="preserve">, Brasil. E-mail do autor responsável: </w:t>
      </w:r>
      <w:r>
        <w:rPr>
          <w:lang w:val="pt-BR"/>
        </w:rPr>
        <w:t>lucas.alves030905@gmail.com</w:t>
      </w:r>
      <w:r w:rsidR="00000000" w:rsidRPr="00BF7EBF">
        <w:rPr>
          <w:lang w:val="pt-BR"/>
        </w:rPr>
        <w:t>.</w:t>
      </w:r>
    </w:p>
    <w:p w14:paraId="44489633" w14:textId="77777777" w:rsidR="00B001E6" w:rsidRPr="00BF7EBF" w:rsidRDefault="00000000">
      <w:pPr>
        <w:keepNext/>
        <w:spacing w:before="200" w:after="200"/>
        <w:rPr>
          <w:lang w:val="pt-BR"/>
        </w:rPr>
      </w:pPr>
      <w:r w:rsidRPr="00BF7EBF">
        <w:rPr>
          <w:b/>
          <w:lang w:val="pt-BR"/>
        </w:rPr>
        <w:t>Introdução</w:t>
      </w:r>
    </w:p>
    <w:p w14:paraId="2FB6ECEF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 xml:space="preserve">A evolução das placas aceleradoras gráficas transformou a forma como os computadores pessoais processavam cenas tridimensionais. Lançada em 1996, a 3dfx </w:t>
      </w:r>
      <w:proofErr w:type="spellStart"/>
      <w:r w:rsidRPr="00BF7EBF">
        <w:rPr>
          <w:lang w:val="pt-BR"/>
        </w:rPr>
        <w:t>Voodoo</w:t>
      </w:r>
      <w:proofErr w:type="spellEnd"/>
      <w:r w:rsidRPr="00BF7EBF">
        <w:rPr>
          <w:lang w:val="pt-BR"/>
        </w:rPr>
        <w:t xml:space="preserve"> </w:t>
      </w:r>
      <w:proofErr w:type="spellStart"/>
      <w:r w:rsidRPr="00BF7EBF">
        <w:rPr>
          <w:lang w:val="pt-BR"/>
        </w:rPr>
        <w:t>Graphics</w:t>
      </w:r>
      <w:proofErr w:type="spellEnd"/>
      <w:r w:rsidRPr="00BF7EBF">
        <w:rPr>
          <w:lang w:val="pt-BR"/>
        </w:rPr>
        <w:t>, baseada no chip SST-1, tornou-se uma referência histórica na popularização dos gráficos 3D para jogos em computadores. Para fins de estudo, este projeto toma como referência uma frequência nominal de 50 MHz para o núcleo e para a memória, utilizando esses valores como ponto inicial de comparação entre diferentes configurações.</w:t>
      </w:r>
    </w:p>
    <w:p w14:paraId="17AC4E77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 xml:space="preserve">O aumento da frequência de operação, conhecido como </w:t>
      </w:r>
      <w:proofErr w:type="spellStart"/>
      <w:r w:rsidRPr="00BF7EBF">
        <w:rPr>
          <w:lang w:val="pt-BR"/>
        </w:rPr>
        <w:t>overclock</w:t>
      </w:r>
      <w:proofErr w:type="spellEnd"/>
      <w:r w:rsidRPr="00BF7EBF">
        <w:rPr>
          <w:lang w:val="pt-BR"/>
        </w:rPr>
        <w:t>, pode elevar o desempenho, mas também tende a aumentar a potência dissipada e a temperatura. Em equipamentos antigos, nos quais as condições de refrigeração e as características elétricas variam entre placas, testar essas relações diretamente pode ser difícil. Um modelo computacional permite explorar diferentes cenários de maneira controlada, desde que as estimativas sejam interpretadas como aproximações e não como medições físicas do hardware.</w:t>
      </w:r>
    </w:p>
    <w:p w14:paraId="484AE334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 xml:space="preserve">Nesse contexto, o projeto SST-1 OC </w:t>
      </w:r>
      <w:proofErr w:type="spellStart"/>
      <w:r w:rsidRPr="00BF7EBF">
        <w:rPr>
          <w:lang w:val="pt-BR"/>
        </w:rPr>
        <w:t>Lab</w:t>
      </w:r>
      <w:proofErr w:type="spellEnd"/>
      <w:r w:rsidRPr="00BF7EBF">
        <w:rPr>
          <w:lang w:val="pt-BR"/>
        </w:rPr>
        <w:t xml:space="preserve"> implementa um simulador didático que relaciona frequências do núcleo e da memória, tensão modelada, temperatura ambiente e refrigeração hipotética a estimativas de desempenho e de risco de falha. O objetivo é desenvolver uma ferramenta interativa que permita comparar configurações, visualizar o comportamento térmico calculado, executar benchmarks simulados e armazenar perfis e históricos de resultados, deixando explícitas as hipóteses utilizadas pelo modelo.</w:t>
      </w:r>
    </w:p>
    <w:p w14:paraId="7BFB0FAA" w14:textId="77777777" w:rsidR="00B001E6" w:rsidRPr="00BF7EBF" w:rsidRDefault="00000000">
      <w:pPr>
        <w:keepNext/>
        <w:spacing w:before="200" w:after="200"/>
        <w:rPr>
          <w:lang w:val="pt-BR"/>
        </w:rPr>
      </w:pPr>
      <w:r w:rsidRPr="00BF7EBF">
        <w:rPr>
          <w:b/>
          <w:lang w:val="pt-BR"/>
        </w:rPr>
        <w:t>Metodologia</w:t>
      </w:r>
    </w:p>
    <w:p w14:paraId="6994DB6D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 xml:space="preserve">O projeto foi desenvolvido em Python e organizado em três componentes principais: motor matemático, interface de visualização e camada de persistência. O motor está no módulo voodoo_sim/engine.py e calcula os indicadores a partir de uma configuração de simulação. A interface foi implementada com </w:t>
      </w:r>
      <w:proofErr w:type="spellStart"/>
      <w:r w:rsidRPr="00BF7EBF">
        <w:rPr>
          <w:lang w:val="pt-BR"/>
        </w:rPr>
        <w:t>Streamlit</w:t>
      </w:r>
      <w:proofErr w:type="spellEnd"/>
      <w:r w:rsidRPr="00BF7EBF">
        <w:rPr>
          <w:lang w:val="pt-BR"/>
        </w:rPr>
        <w:t xml:space="preserve">, enquanto os gráficos são produzidos com </w:t>
      </w:r>
      <w:proofErr w:type="spellStart"/>
      <w:r w:rsidRPr="00BF7EBF">
        <w:rPr>
          <w:lang w:val="pt-BR"/>
        </w:rPr>
        <w:t>Plotly</w:t>
      </w:r>
      <w:proofErr w:type="spellEnd"/>
      <w:r w:rsidRPr="00BF7EBF">
        <w:rPr>
          <w:lang w:val="pt-BR"/>
        </w:rPr>
        <w:t xml:space="preserve">. A persistência usa </w:t>
      </w:r>
      <w:proofErr w:type="spellStart"/>
      <w:r w:rsidRPr="00BF7EBF">
        <w:rPr>
          <w:lang w:val="pt-BR"/>
        </w:rPr>
        <w:t>SQLite</w:t>
      </w:r>
      <w:proofErr w:type="spellEnd"/>
      <w:r w:rsidRPr="00BF7EBF">
        <w:rPr>
          <w:lang w:val="pt-BR"/>
        </w:rPr>
        <w:t xml:space="preserve"> com </w:t>
      </w:r>
      <w:proofErr w:type="spellStart"/>
      <w:r w:rsidRPr="00BF7EBF">
        <w:rPr>
          <w:lang w:val="pt-BR"/>
        </w:rPr>
        <w:t>SQLAlchemy</w:t>
      </w:r>
      <w:proofErr w:type="spellEnd"/>
      <w:r w:rsidRPr="00BF7EBF">
        <w:rPr>
          <w:lang w:val="pt-BR"/>
        </w:rPr>
        <w:t>, separando os registros de perfis e os dados dos benchmarks simulados. O repositório também inclui testes automatizados para verificar comportamentos essenciais do sistema.</w:t>
      </w:r>
    </w:p>
    <w:p w14:paraId="0EB2C961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>A configuração aceita frequências do núcleo entre 40 e 75 MHz e da memória entre 40 e 70 MHz, tensão modelada entre 2,0 e 3,2 V, temperatura ambiente de 10 a 40 °C, três opções hipotéticas de refrigeração e diferentes resoluções e cargas gráficas. A configuração nominal utilizada como referência é de 50/50 MHz, com tensão de referência matemática de 2,5 V. Esse valor de tensão, assim como os coeficientes térmicos e o limite de 68 °C, é uma hipótese interna do simulador e não deve ser entendido como especificação universal certificada do chip SST-1.</w:t>
      </w:r>
    </w:p>
    <w:p w14:paraId="7BE44D79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>A potência estimada é calculada por uma relação simplificada entre as frequências normalizadas e o quadrado da tensão: P ≈ 12,5 W × [0,68 × (f núcleo/50) + 0,32 × (f memória/50)] × (V/2,</w:t>
      </w:r>
      <w:proofErr w:type="gramStart"/>
      <w:r w:rsidRPr="00BF7EBF">
        <w:rPr>
          <w:lang w:val="pt-BR"/>
        </w:rPr>
        <w:t>5)²</w:t>
      </w:r>
      <w:proofErr w:type="gramEnd"/>
      <w:r w:rsidRPr="00BF7EBF">
        <w:rPr>
          <w:lang w:val="pt-BR"/>
        </w:rPr>
        <w:t xml:space="preserve">. A temperatura de regime é estimada por T∞ = </w:t>
      </w:r>
      <w:proofErr w:type="spellStart"/>
      <w:r w:rsidRPr="00BF7EBF">
        <w:rPr>
          <w:lang w:val="pt-BR"/>
        </w:rPr>
        <w:t>Tambiente</w:t>
      </w:r>
      <w:proofErr w:type="spellEnd"/>
      <w:r w:rsidRPr="00BF7EBF">
        <w:rPr>
          <w:lang w:val="pt-BR"/>
        </w:rPr>
        <w:t xml:space="preserve"> + P × R</w:t>
      </w:r>
      <w:r>
        <w:t>θ</w:t>
      </w:r>
      <w:r w:rsidRPr="00BF7EBF">
        <w:rPr>
          <w:lang w:val="pt-BR"/>
        </w:rPr>
        <w:t>, em que R</w:t>
      </w:r>
      <w:r>
        <w:t>θ</w:t>
      </w:r>
      <w:r w:rsidRPr="00BF7EBF">
        <w:rPr>
          <w:lang w:val="pt-BR"/>
        </w:rPr>
        <w:t xml:space="preserve"> depende do modo de refrigeração. A evolução térmica durante a simulação é calculada por T(t) = </w:t>
      </w:r>
      <w:proofErr w:type="spellStart"/>
      <w:r w:rsidRPr="00BF7EBF">
        <w:rPr>
          <w:lang w:val="pt-BR"/>
        </w:rPr>
        <w:t>Tambiente</w:t>
      </w:r>
      <w:proofErr w:type="spellEnd"/>
      <w:r w:rsidRPr="00BF7EBF">
        <w:rPr>
          <w:lang w:val="pt-BR"/>
        </w:rPr>
        <w:t xml:space="preserve"> + (T∞ − </w:t>
      </w:r>
      <w:proofErr w:type="spellStart"/>
      <w:r w:rsidRPr="00BF7EBF">
        <w:rPr>
          <w:lang w:val="pt-BR"/>
        </w:rPr>
        <w:t>Tambiente</w:t>
      </w:r>
      <w:proofErr w:type="spellEnd"/>
      <w:r w:rsidRPr="00BF7EBF">
        <w:rPr>
          <w:lang w:val="pt-BR"/>
        </w:rPr>
        <w:t>) × (1 − e^(−t/</w:t>
      </w:r>
      <w:r>
        <w:t>τ</w:t>
      </w:r>
      <w:r w:rsidRPr="00BF7EBF">
        <w:rPr>
          <w:lang w:val="pt-BR"/>
        </w:rPr>
        <w:t xml:space="preserve">)), sendo </w:t>
      </w:r>
      <w:r>
        <w:t>τ</w:t>
      </w:r>
      <w:r w:rsidRPr="00BF7EBF">
        <w:rPr>
          <w:lang w:val="pt-BR"/>
        </w:rPr>
        <w:t xml:space="preserve"> a constante de tempo associada à refrigeração selecionada.</w:t>
      </w:r>
    </w:p>
    <w:p w14:paraId="007D26DA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>O desempenho relativo combina as frequências do núcleo e da memória, incluindo um termo que representa o possível gargalo do subsistema com menor frequência. A pontuação é normalizada para 1.000 pontos na configuração de referência; os FPS são estimados a partir de uma carga sintética cuja referência é de 32 FPS em 640 × 480, com ajustes de resolução e complexidade gráfica. Portanto, score e FPS servem para comparar cenários dentro do simulador, não para reproduzir resultados históricos de jogos ou de benchmarks executados em uma placa real.</w:t>
      </w:r>
    </w:p>
    <w:p w14:paraId="5C483177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lastRenderedPageBreak/>
        <w:t xml:space="preserve">A estabilidade é representada por uma função logística heurística que aumenta o risco estimado conforme crescem o </w:t>
      </w:r>
      <w:proofErr w:type="spellStart"/>
      <w:r w:rsidRPr="00BF7EBF">
        <w:rPr>
          <w:lang w:val="pt-BR"/>
        </w:rPr>
        <w:t>overclock</w:t>
      </w:r>
      <w:proofErr w:type="spellEnd"/>
      <w:r w:rsidRPr="00BF7EBF">
        <w:rPr>
          <w:lang w:val="pt-BR"/>
        </w:rPr>
        <w:t xml:space="preserve"> e a temperatura calculada, considerando também a tensão modelada. Ao acionar o benchmark, o sistema sorteia um resultado de conclusão ou falha simulada a partir dessa probabilidade; uma semente aleatória permite reproduzir o sorteio durante testes. A interface apresenta os indicadores, a curva térmica e a potência estimada. No </w:t>
      </w:r>
      <w:proofErr w:type="spellStart"/>
      <w:r w:rsidRPr="00BF7EBF">
        <w:rPr>
          <w:lang w:val="pt-BR"/>
        </w:rPr>
        <w:t>SQLite</w:t>
      </w:r>
      <w:proofErr w:type="spellEnd"/>
      <w:r w:rsidRPr="00BF7EBF">
        <w:rPr>
          <w:lang w:val="pt-BR"/>
        </w:rPr>
        <w:t xml:space="preserve">, a tabela </w:t>
      </w:r>
      <w:proofErr w:type="spellStart"/>
      <w:r w:rsidRPr="00BF7EBF">
        <w:rPr>
          <w:lang w:val="pt-BR"/>
        </w:rPr>
        <w:t>perfis_overclock</w:t>
      </w:r>
      <w:proofErr w:type="spellEnd"/>
      <w:r w:rsidRPr="00BF7EBF">
        <w:rPr>
          <w:lang w:val="pt-BR"/>
        </w:rPr>
        <w:t xml:space="preserve"> armazena configurações salvas e sua classificação estimada; a tabela </w:t>
      </w:r>
      <w:proofErr w:type="spellStart"/>
      <w:r w:rsidRPr="00BF7EBF">
        <w:rPr>
          <w:lang w:val="pt-BR"/>
        </w:rPr>
        <w:t>historico_benchmarks</w:t>
      </w:r>
      <w:proofErr w:type="spellEnd"/>
      <w:r w:rsidRPr="00BF7EBF">
        <w:rPr>
          <w:lang w:val="pt-BR"/>
        </w:rPr>
        <w:t xml:space="preserve"> registra </w:t>
      </w:r>
      <w:proofErr w:type="spellStart"/>
      <w:r w:rsidRPr="00BF7EBF">
        <w:rPr>
          <w:lang w:val="pt-BR"/>
        </w:rPr>
        <w:t>clocks</w:t>
      </w:r>
      <w:proofErr w:type="spellEnd"/>
      <w:r w:rsidRPr="00BF7EBF">
        <w:rPr>
          <w:lang w:val="pt-BR"/>
        </w:rPr>
        <w:t>, tensão, cenário de execução, score, FPS, temperatura, potência, risco e status.</w:t>
      </w:r>
    </w:p>
    <w:p w14:paraId="589E8BE1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>A verificação foi realizada por testes automatizados incluídos no repositório. Os casos cobrem a configuração de referência, a elevação do desempenho quando ambas as frequências aumentam, o efeito da refrigeração sobre a temperatura, o aumento heurístico do risco em situações de maior estresse, a reprodutibilidade com semente fixa, a rejeição de entradas fora dos limites e a gravação e recuperação de perfis e histórico no banco de dados.</w:t>
      </w:r>
    </w:p>
    <w:p w14:paraId="55692063" w14:textId="77777777" w:rsidR="00B001E6" w:rsidRPr="00BF7EBF" w:rsidRDefault="00000000">
      <w:pPr>
        <w:keepNext/>
        <w:spacing w:before="200" w:after="200"/>
        <w:rPr>
          <w:lang w:val="pt-BR"/>
        </w:rPr>
      </w:pPr>
      <w:r w:rsidRPr="00BF7EBF">
        <w:rPr>
          <w:b/>
          <w:lang w:val="pt-BR"/>
        </w:rPr>
        <w:t>Resultados preliminares</w:t>
      </w:r>
    </w:p>
    <w:p w14:paraId="3D0C5426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 xml:space="preserve">A execução da suíte de testes resultou em sete testes aprovados. Os testes verificaram que a configuração nominal produz a pontuação de referência de 1.000 pontos, que elevar simultaneamente as frequências aumenta a pontuação e os FPS calculados, que a ventilação forte reduz a temperatura estimada para a mesma configuração e que </w:t>
      </w:r>
      <w:proofErr w:type="spellStart"/>
      <w:r w:rsidRPr="00BF7EBF">
        <w:rPr>
          <w:lang w:val="pt-BR"/>
        </w:rPr>
        <w:t>clocks</w:t>
      </w:r>
      <w:proofErr w:type="spellEnd"/>
      <w:r w:rsidRPr="00BF7EBF">
        <w:rPr>
          <w:lang w:val="pt-BR"/>
        </w:rPr>
        <w:t xml:space="preserve"> mais altos e maior estresse térmico elevam o risco previsto pelo modelo. Também foi verificada a persistência de perfis e registros de benchmark no </w:t>
      </w:r>
      <w:proofErr w:type="spellStart"/>
      <w:r w:rsidRPr="00BF7EBF">
        <w:rPr>
          <w:lang w:val="pt-BR"/>
        </w:rPr>
        <w:t>SQLite</w:t>
      </w:r>
      <w:proofErr w:type="spellEnd"/>
      <w:r w:rsidRPr="00BF7EBF">
        <w:rPr>
          <w:lang w:val="pt-BR"/>
        </w:rPr>
        <w:t>. Esses resultados validam comportamentos implementados no software, mas não comprovam a exatidão do modelo em uma placa física.</w:t>
      </w:r>
    </w:p>
    <w:p w14:paraId="1D051C02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 xml:space="preserve">Para demonstrar a saída do modelo, foram calculados cenários com temperatura ambiente de 25 °C, carga equilibrada, resolução de 640 × 480 e duração de 120 segundos. A Tabela 1 apresenta a pontuação relativa, os FPS e a potência estimada, além da temperatura de regime e da temperatura estimada ao final dos 120 segundos. Todos os valores são resultados matemáticos do simulador; não foram obtidos por medição de uma </w:t>
      </w:r>
      <w:proofErr w:type="spellStart"/>
      <w:r w:rsidRPr="00BF7EBF">
        <w:rPr>
          <w:lang w:val="pt-BR"/>
        </w:rPr>
        <w:t>Voodoo</w:t>
      </w:r>
      <w:proofErr w:type="spellEnd"/>
      <w:r w:rsidRPr="00BF7EBF">
        <w:rPr>
          <w:lang w:val="pt-BR"/>
        </w:rPr>
        <w:t xml:space="preserve"> </w:t>
      </w:r>
      <w:proofErr w:type="spellStart"/>
      <w:r w:rsidRPr="00BF7EBF">
        <w:rPr>
          <w:lang w:val="pt-BR"/>
        </w:rPr>
        <w:t>Graphics</w:t>
      </w:r>
      <w:proofErr w:type="spellEnd"/>
      <w:r w:rsidRPr="00BF7EBF">
        <w:rPr>
          <w:lang w:val="pt-BR"/>
        </w:rPr>
        <w:t xml:space="preserve"> real.</w:t>
      </w:r>
    </w:p>
    <w:p w14:paraId="68104946" w14:textId="77777777" w:rsidR="00B001E6" w:rsidRPr="00BF7EBF" w:rsidRDefault="00000000">
      <w:pPr>
        <w:keepNext/>
        <w:spacing w:before="40" w:after="80"/>
        <w:rPr>
          <w:lang w:val="pt-BR"/>
        </w:rPr>
      </w:pPr>
      <w:r w:rsidRPr="00BF7EBF">
        <w:rPr>
          <w:sz w:val="18"/>
          <w:lang w:val="pt-BR"/>
        </w:rPr>
        <w:t>Tabela 1 – Comparação entre cenários calculados pelo simulador.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1134"/>
        <w:gridCol w:w="935"/>
        <w:gridCol w:w="879"/>
        <w:gridCol w:w="2069"/>
        <w:gridCol w:w="1332"/>
      </w:tblGrid>
      <w:tr w:rsidR="00B001E6" w14:paraId="12A9EFD7" w14:textId="77777777">
        <w:trPr>
          <w:tblHeader/>
          <w:jc w:val="center"/>
        </w:trPr>
        <w:tc>
          <w:tcPr>
            <w:tcW w:w="2409" w:type="dxa"/>
            <w:tcBorders>
              <w:top w:val="single" w:sz="6" w:space="0" w:color="777777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53D7E662" w14:textId="77777777" w:rsidR="00B001E6" w:rsidRDefault="00000000">
            <w:proofErr w:type="spellStart"/>
            <w:r>
              <w:rPr>
                <w:b/>
                <w:sz w:val="16"/>
              </w:rPr>
              <w:t>Cenário</w:t>
            </w:r>
            <w:proofErr w:type="spellEnd"/>
          </w:p>
        </w:tc>
        <w:tc>
          <w:tcPr>
            <w:tcW w:w="1134" w:type="dxa"/>
            <w:tcBorders>
              <w:top w:val="single" w:sz="6" w:space="0" w:color="777777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1CAE2348" w14:textId="77777777" w:rsidR="00B001E6" w:rsidRDefault="00000000">
            <w:r>
              <w:rPr>
                <w:b/>
                <w:sz w:val="16"/>
              </w:rPr>
              <w:t>Score relativo</w:t>
            </w:r>
          </w:p>
        </w:tc>
        <w:tc>
          <w:tcPr>
            <w:tcW w:w="935" w:type="dxa"/>
            <w:tcBorders>
              <w:top w:val="single" w:sz="6" w:space="0" w:color="777777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5F8C474A" w14:textId="77777777" w:rsidR="00B001E6" w:rsidRDefault="00000000">
            <w:r>
              <w:rPr>
                <w:b/>
                <w:sz w:val="16"/>
              </w:rPr>
              <w:t>FPS estimado</w:t>
            </w:r>
          </w:p>
        </w:tc>
        <w:tc>
          <w:tcPr>
            <w:tcW w:w="879" w:type="dxa"/>
            <w:tcBorders>
              <w:top w:val="single" w:sz="6" w:space="0" w:color="777777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2397BC53" w14:textId="77777777" w:rsidR="00B001E6" w:rsidRDefault="00000000">
            <w:r>
              <w:rPr>
                <w:b/>
                <w:sz w:val="16"/>
              </w:rPr>
              <w:t>Potência (W)</w:t>
            </w:r>
          </w:p>
        </w:tc>
        <w:tc>
          <w:tcPr>
            <w:tcW w:w="2069" w:type="dxa"/>
            <w:tcBorders>
              <w:top w:val="single" w:sz="6" w:space="0" w:color="777777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0F2078D9" w14:textId="77777777" w:rsidR="00B001E6" w:rsidRDefault="00000000">
            <w:r>
              <w:rPr>
                <w:b/>
                <w:sz w:val="16"/>
              </w:rPr>
              <w:t>Temperatura regime / 120 s (°C)</w:t>
            </w:r>
          </w:p>
        </w:tc>
        <w:tc>
          <w:tcPr>
            <w:tcW w:w="1332" w:type="dxa"/>
            <w:tcBorders>
              <w:top w:val="single" w:sz="6" w:space="0" w:color="777777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6BC8D540" w14:textId="77777777" w:rsidR="00B001E6" w:rsidRDefault="00000000">
            <w:r>
              <w:rPr>
                <w:b/>
                <w:sz w:val="16"/>
              </w:rPr>
              <w:t>Risco estimado</w:t>
            </w:r>
          </w:p>
        </w:tc>
      </w:tr>
      <w:tr w:rsidR="00B001E6" w14:paraId="6B858CA2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1C62BAB0" w14:textId="77777777" w:rsidR="00B001E6" w:rsidRDefault="00000000">
            <w:r>
              <w:rPr>
                <w:sz w:val="17"/>
              </w:rPr>
              <w:t>50/50 MHz; refrigeração passiva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12A0B287" w14:textId="77777777" w:rsidR="00B001E6" w:rsidRDefault="00000000">
            <w:pPr>
              <w:jc w:val="center"/>
            </w:pPr>
            <w:r>
              <w:rPr>
                <w:sz w:val="17"/>
              </w:rPr>
              <w:t>1.000,0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39EDAE8C" w14:textId="77777777" w:rsidR="00B001E6" w:rsidRDefault="00000000">
            <w:pPr>
              <w:jc w:val="center"/>
            </w:pPr>
            <w:r>
              <w:rPr>
                <w:sz w:val="17"/>
              </w:rPr>
              <w:t>32,00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6E4E11F7" w14:textId="77777777" w:rsidR="00B001E6" w:rsidRDefault="00000000">
            <w:pPr>
              <w:jc w:val="center"/>
            </w:pPr>
            <w:r>
              <w:rPr>
                <w:sz w:val="17"/>
              </w:rPr>
              <w:t>12,50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4141A28" w14:textId="77777777" w:rsidR="00B001E6" w:rsidRDefault="00000000">
            <w:pPr>
              <w:jc w:val="center"/>
            </w:pPr>
            <w:r>
              <w:rPr>
                <w:sz w:val="17"/>
              </w:rPr>
              <w:t>58,75 / 53,42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523C39E3" w14:textId="77777777" w:rsidR="00B001E6" w:rsidRDefault="00000000">
            <w:pPr>
              <w:jc w:val="center"/>
            </w:pPr>
            <w:r>
              <w:rPr>
                <w:sz w:val="17"/>
              </w:rPr>
              <w:t>0,97%</w:t>
            </w:r>
          </w:p>
        </w:tc>
      </w:tr>
      <w:tr w:rsidR="00B001E6" w14:paraId="433AA120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7D711484" w14:textId="77777777" w:rsidR="00B001E6" w:rsidRDefault="00000000">
            <w:r>
              <w:rPr>
                <w:sz w:val="17"/>
              </w:rPr>
              <w:t>57/57 MHz; refrigeração passiva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762CFAEB" w14:textId="77777777" w:rsidR="00B001E6" w:rsidRDefault="00000000">
            <w:pPr>
              <w:jc w:val="center"/>
            </w:pPr>
            <w:r>
              <w:rPr>
                <w:sz w:val="17"/>
              </w:rPr>
              <w:t>1.140,0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36A30A06" w14:textId="77777777" w:rsidR="00B001E6" w:rsidRDefault="00000000">
            <w:pPr>
              <w:jc w:val="center"/>
            </w:pPr>
            <w:r>
              <w:rPr>
                <w:sz w:val="17"/>
              </w:rPr>
              <w:t>36,48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27C45D60" w14:textId="77777777" w:rsidR="00B001E6" w:rsidRDefault="00000000">
            <w:pPr>
              <w:jc w:val="center"/>
            </w:pPr>
            <w:r>
              <w:rPr>
                <w:sz w:val="17"/>
              </w:rPr>
              <w:t>14,25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333EF382" w14:textId="77777777" w:rsidR="00B001E6" w:rsidRDefault="00000000">
            <w:pPr>
              <w:jc w:val="center"/>
            </w:pPr>
            <w:r>
              <w:rPr>
                <w:sz w:val="17"/>
              </w:rPr>
              <w:t>63,47 / 57,40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11108E95" w14:textId="77777777" w:rsidR="00B001E6" w:rsidRDefault="00000000">
            <w:pPr>
              <w:jc w:val="center"/>
            </w:pPr>
            <w:r>
              <w:rPr>
                <w:sz w:val="17"/>
              </w:rPr>
              <w:t>37,46%</w:t>
            </w:r>
          </w:p>
        </w:tc>
      </w:tr>
      <w:tr w:rsidR="00B001E6" w14:paraId="5CC2AF81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3B442EE7" w14:textId="77777777" w:rsidR="00B001E6" w:rsidRDefault="00000000">
            <w:r>
              <w:rPr>
                <w:sz w:val="17"/>
              </w:rPr>
              <w:t>70/65 MHz; refrigeração passiva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1C82B6F" w14:textId="77777777" w:rsidR="00B001E6" w:rsidRDefault="00000000">
            <w:pPr>
              <w:jc w:val="center"/>
            </w:pPr>
            <w:r>
              <w:rPr>
                <w:sz w:val="17"/>
              </w:rPr>
              <w:t>1.344,2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37372129" w14:textId="77777777" w:rsidR="00B001E6" w:rsidRDefault="00000000">
            <w:pPr>
              <w:jc w:val="center"/>
            </w:pPr>
            <w:r>
              <w:rPr>
                <w:sz w:val="17"/>
              </w:rPr>
              <w:t>43,01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58FFE195" w14:textId="77777777" w:rsidR="00B001E6" w:rsidRDefault="00000000">
            <w:pPr>
              <w:jc w:val="center"/>
            </w:pPr>
            <w:r>
              <w:rPr>
                <w:sz w:val="17"/>
              </w:rPr>
              <w:t>17,10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6B7DFA1A" w14:textId="77777777" w:rsidR="00B001E6" w:rsidRDefault="00000000">
            <w:pPr>
              <w:jc w:val="center"/>
            </w:pPr>
            <w:r>
              <w:rPr>
                <w:sz w:val="17"/>
              </w:rPr>
              <w:t>71,17 / 63,88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5AF0A3A4" w14:textId="77777777" w:rsidR="00B001E6" w:rsidRDefault="00000000">
            <w:pPr>
              <w:jc w:val="center"/>
            </w:pPr>
            <w:r>
              <w:rPr>
                <w:sz w:val="17"/>
              </w:rPr>
              <w:t>99,50%</w:t>
            </w:r>
          </w:p>
        </w:tc>
      </w:tr>
      <w:tr w:rsidR="00B001E6" w14:paraId="4434A7E1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33D3DB67" w14:textId="77777777" w:rsidR="00B001E6" w:rsidRDefault="00000000">
            <w:r>
              <w:rPr>
                <w:sz w:val="17"/>
              </w:rPr>
              <w:t>50/50 MHz; ventilação forte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6194DBB4" w14:textId="77777777" w:rsidR="00B001E6" w:rsidRDefault="00000000">
            <w:pPr>
              <w:jc w:val="center"/>
            </w:pPr>
            <w:r>
              <w:rPr>
                <w:sz w:val="17"/>
              </w:rPr>
              <w:t>1.000,0</w:t>
            </w:r>
          </w:p>
        </w:tc>
        <w:tc>
          <w:tcPr>
            <w:tcW w:w="935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26BD67B4" w14:textId="77777777" w:rsidR="00B001E6" w:rsidRDefault="00000000">
            <w:pPr>
              <w:jc w:val="center"/>
            </w:pPr>
            <w:r>
              <w:rPr>
                <w:sz w:val="17"/>
              </w:rPr>
              <w:t>32,00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4B4019AA" w14:textId="77777777" w:rsidR="00B001E6" w:rsidRDefault="00000000">
            <w:pPr>
              <w:jc w:val="center"/>
            </w:pPr>
            <w:r>
              <w:rPr>
                <w:sz w:val="17"/>
              </w:rPr>
              <w:t>12,50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75256E37" w14:textId="77777777" w:rsidR="00B001E6" w:rsidRDefault="00000000">
            <w:pPr>
              <w:jc w:val="center"/>
            </w:pPr>
            <w:r>
              <w:rPr>
                <w:sz w:val="17"/>
              </w:rPr>
              <w:t>42,50 / 42,18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777777"/>
              <w:right w:val="nil"/>
            </w:tcBorders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</w:tcPr>
          <w:p w14:paraId="38021D8E" w14:textId="77777777" w:rsidR="00B001E6" w:rsidRDefault="00000000">
            <w:pPr>
              <w:jc w:val="center"/>
            </w:pPr>
            <w:r>
              <w:rPr>
                <w:sz w:val="17"/>
              </w:rPr>
              <w:t>0,67%</w:t>
            </w:r>
          </w:p>
        </w:tc>
      </w:tr>
    </w:tbl>
    <w:p w14:paraId="33192DAB" w14:textId="77777777" w:rsidR="00B001E6" w:rsidRPr="00BF7EBF" w:rsidRDefault="00000000">
      <w:pPr>
        <w:spacing w:before="60" w:after="100"/>
        <w:rPr>
          <w:lang w:val="pt-BR"/>
        </w:rPr>
      </w:pPr>
      <w:r w:rsidRPr="00BF7EBF">
        <w:rPr>
          <w:sz w:val="18"/>
          <w:lang w:val="pt-BR"/>
        </w:rPr>
        <w:t>Fonte: resultados gerados pelo motor matemático do projeto (simulação; não são medições físicas).</w:t>
      </w:r>
    </w:p>
    <w:p w14:paraId="67F9C52C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 xml:space="preserve">A comparação indica que o aumento simultâneo dos </w:t>
      </w:r>
      <w:proofErr w:type="spellStart"/>
      <w:r w:rsidRPr="00BF7EBF">
        <w:rPr>
          <w:lang w:val="pt-BR"/>
        </w:rPr>
        <w:t>clocks</w:t>
      </w:r>
      <w:proofErr w:type="spellEnd"/>
      <w:r w:rsidRPr="00BF7EBF">
        <w:rPr>
          <w:lang w:val="pt-BR"/>
        </w:rPr>
        <w:t xml:space="preserve"> de 50 para 57 MHz eleva o score estimado de 1.000 para 1.140 pontos e os FPS de 32,00 para 36,48, acompanhado de aumento da potência estimada de 12,50 W para 14,25 W e do risco heurístico de falha. No cenário de 70/65 MHz, o desempenho calculado é maior, mas a temperatura de regime estimada chega a 71,17 °C, acima do limiar de 68 °C configurado no modelo, e o risco estimado atinge o limite de 99,50%. Na configuração nominal, a ventilação forte reduz a temperatura de regime estimada de 58,75 °C para 42,50 °C, mostrando o efeito dos parâmetros térmicos assumidos pelo simulador.</w:t>
      </w:r>
    </w:p>
    <w:p w14:paraId="740E10D5" w14:textId="77777777" w:rsidR="00B001E6" w:rsidRPr="00BF7EBF" w:rsidRDefault="00000000">
      <w:pPr>
        <w:keepLines/>
        <w:ind w:firstLine="283"/>
        <w:jc w:val="both"/>
        <w:rPr>
          <w:lang w:val="pt-BR"/>
        </w:rPr>
      </w:pPr>
      <w:r w:rsidRPr="00BF7EBF">
        <w:rPr>
          <w:lang w:val="pt-BR"/>
        </w:rPr>
        <w:t xml:space="preserve">Os resultados demonstram o funcionamento integrado dos cálculos, da interface e da persistência de dados e permitem explorar compromissos entre desempenho, potência, temperatura e estabilidade. Entretanto, como os FPS, a potência, a curva térmica e o risco são calculados a partir de coeficientes hipotéticos, conclusões sobre o comportamento elétrico ou térmico real da 3dfx </w:t>
      </w:r>
      <w:proofErr w:type="spellStart"/>
      <w:r w:rsidRPr="00BF7EBF">
        <w:rPr>
          <w:lang w:val="pt-BR"/>
        </w:rPr>
        <w:t>Voodoo</w:t>
      </w:r>
      <w:proofErr w:type="spellEnd"/>
      <w:r w:rsidRPr="00BF7EBF">
        <w:rPr>
          <w:lang w:val="pt-BR"/>
        </w:rPr>
        <w:t xml:space="preserve"> </w:t>
      </w:r>
      <w:proofErr w:type="spellStart"/>
      <w:r w:rsidRPr="00BF7EBF">
        <w:rPr>
          <w:lang w:val="pt-BR"/>
        </w:rPr>
        <w:t>Graphics</w:t>
      </w:r>
      <w:proofErr w:type="spellEnd"/>
      <w:r w:rsidRPr="00BF7EBF">
        <w:rPr>
          <w:lang w:val="pt-BR"/>
        </w:rPr>
        <w:t xml:space="preserve"> exigiriam medições experimentais e validação dos parâmetros com hardware e documentação técnica específicos.</w:t>
      </w:r>
    </w:p>
    <w:sectPr w:rsidR="00B001E6" w:rsidRPr="00BF7EBF" w:rsidSect="00034616">
      <w:pgSz w:w="11906" w:h="16838"/>
      <w:pgMar w:top="2409" w:right="1134" w:bottom="1134" w:left="1701" w:header="85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DC58A" w14:textId="77777777" w:rsidR="00123286" w:rsidRDefault="00123286" w:rsidP="00BF7EBF">
      <w:r>
        <w:separator/>
      </w:r>
    </w:p>
  </w:endnote>
  <w:endnote w:type="continuationSeparator" w:id="0">
    <w:p w14:paraId="4E0A8F69" w14:textId="77777777" w:rsidR="00123286" w:rsidRDefault="00123286" w:rsidP="00BF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15B0F" w14:textId="77777777" w:rsidR="00123286" w:rsidRDefault="00123286" w:rsidP="00BF7EBF">
      <w:r>
        <w:separator/>
      </w:r>
    </w:p>
  </w:footnote>
  <w:footnote w:type="continuationSeparator" w:id="0">
    <w:p w14:paraId="1A37EF31" w14:textId="77777777" w:rsidR="00123286" w:rsidRDefault="00123286" w:rsidP="00BF7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602750">
    <w:abstractNumId w:val="8"/>
  </w:num>
  <w:num w:numId="2" w16cid:durableId="275645978">
    <w:abstractNumId w:val="6"/>
  </w:num>
  <w:num w:numId="3" w16cid:durableId="514538870">
    <w:abstractNumId w:val="5"/>
  </w:num>
  <w:num w:numId="4" w16cid:durableId="1753696841">
    <w:abstractNumId w:val="4"/>
  </w:num>
  <w:num w:numId="5" w16cid:durableId="1318144180">
    <w:abstractNumId w:val="7"/>
  </w:num>
  <w:num w:numId="6" w16cid:durableId="318196481">
    <w:abstractNumId w:val="3"/>
  </w:num>
  <w:num w:numId="7" w16cid:durableId="438140869">
    <w:abstractNumId w:val="2"/>
  </w:num>
  <w:num w:numId="8" w16cid:durableId="765149873">
    <w:abstractNumId w:val="1"/>
  </w:num>
  <w:num w:numId="9" w16cid:durableId="119990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286"/>
    <w:rsid w:val="0015074B"/>
    <w:rsid w:val="0029639D"/>
    <w:rsid w:val="00326F90"/>
    <w:rsid w:val="009C26B0"/>
    <w:rsid w:val="00AA1D8D"/>
    <w:rsid w:val="00B001E6"/>
    <w:rsid w:val="00B47730"/>
    <w:rsid w:val="00BF7E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E4F31A"/>
  <w14:defaultImageDpi w14:val="300"/>
  <w15:docId w15:val="{16FC91C4-CBE5-4E29-ACB4-5923C536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1223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Simulação de desempenho, comportamento térmico e estabilidade da 3dfx Voodoo Graphics</dc:title>
  <dc:subject>Artigo INIC – projeto SST-1 OC Lab</dc:subject>
  <dc:creator/>
  <cp:keywords>3dfx Voodoo Graphics; SST-1; simulação; overclock; temperatura</cp:keywords>
  <dc:description>generated by python-docx</dc:description>
  <cp:lastModifiedBy>Lucas Alves dos Santos</cp:lastModifiedBy>
  <cp:revision>2</cp:revision>
  <dcterms:created xsi:type="dcterms:W3CDTF">2013-12-23T23:15:00Z</dcterms:created>
  <dcterms:modified xsi:type="dcterms:W3CDTF">2026-10-16T18:49:00Z</dcterms:modified>
  <cp:category/>
</cp:coreProperties>
</file>