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F5741" w:rsidRPr="00EF5741" w:rsidRDefault="00EF5741" w:rsidP="00EF5741">
      <w:pPr>
        <w:spacing w:before="140" w:after="80" w:line="280" w:lineRule="exact"/>
        <w:jc w:val="center"/>
        <w:rPr>
          <w:rFonts w:ascii="Verdana" w:hAnsi="Verdana" w:cs="Verdana" w:eastAsia="Verdana"/>
          <w:b w:val="1"/>
          <w:bCs w:val="1"/>
          <w:sz w:val="18"/>
          <w:szCs w:val="18"/>
          <w:color w:val="000000"/>
        </w:rPr>
        <w:ind w:left="0" w:right="0" w:firstLine="0"/>
        <w:widowControl w:val="1"/>
        <w:keepNext w:val="1"/>
      </w:pPr>
      <w:r>
        <w:rPr>
          <w:rFonts w:ascii="Verdana" w:hAnsi="Verdana" w:cs="Verdana" w:eastAsia="Verdana"/>
          <w:b w:val="1"/>
          <w:bCs w:val="1"/>
          <w:sz w:val="18"/>
          <w:szCs w:val="18"/>
          <w:color w:val="000000"/>
        </w:rPr>
        <w:t>Quadro 1 – Lista de questões políticas avaliadas no experimento</w:t>
      </w:r>
    </w:p>
    <w:tbl>
      <w:tblPr>
        <w:tblStyle w:val="Tabelacomgrade"/>
        <w:tblW w:w="5000" w:type="pct"/>
        <w:jc w:val="center"/>
        <w:tblLook w:val="04A0" w:firstRow="1" w:lastRow="0" w:firstColumn="1" w:lastColumn="0" w:noHBand="0" w:noVBand="1"/>
      </w:tblPr>
      <w:tblGrid>
        <w:gridCol w:w="1666"/>
        <w:gridCol w:w="7350"/>
      </w:tblGrid>
      <w:tr w:rsidR="00EF5741" w:rsidTr="00E363A9">
        <w:trPr>
          <w:jc w:val="center"/>
          <w:cantSplit/>
          <w:tblHeader/>
        </w:trPr>
        <w:tc>
          <w:tcPr>
            <w:tcW w:w="924" w:type="pct"/>
          </w:tcPr>
          <w:p w:rsidR="00EF5741" w:rsidRPr="00EF5741" w:rsidRDefault="00EF5741" w:rsidP="00EF5741">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Código</w:t>
            </w:r>
          </w:p>
        </w:tc>
        <w:tc>
          <w:tcPr>
            <w:tcW w:w="4076" w:type="pct"/>
          </w:tcPr>
          <w:p w:rsidR="00EF5741" w:rsidRPr="00EF5741" w:rsidRDefault="00EF5741" w:rsidP="00EF5741">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Questão</w:t>
            </w:r>
          </w:p>
        </w:tc>
      </w:tr>
      <w:tr w:rsidR="00EF5741" w:rsidTr="00E363A9">
        <w:trPr>
          <w:jc w:val="center"/>
          <w:cantSplit/>
        </w:trPr>
        <w:tc>
          <w:tcPr>
            <w:tcW w:w="924"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Economia</w:t>
            </w:r>
          </w:p>
        </w:tc>
        <w:tc>
          <w:tcPr>
            <w:tcW w:w="4076"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Privatização da Petrobrás.</w:t>
            </w:r>
          </w:p>
        </w:tc>
      </w:tr>
      <w:tr w:rsidR="00EF5741" w:rsidTr="00E363A9">
        <w:trPr>
          <w:jc w:val="center"/>
          <w:cantSplit/>
        </w:trPr>
        <w:tc>
          <w:tcPr>
            <w:tcW w:w="924"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Costumes 1</w:t>
            </w:r>
          </w:p>
        </w:tc>
        <w:tc>
          <w:tcPr>
            <w:tcW w:w="4076"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Liberação do uso da maconha em tratamentos médicos.</w:t>
            </w:r>
          </w:p>
        </w:tc>
      </w:tr>
      <w:tr w:rsidR="00EF5741" w:rsidTr="00E363A9">
        <w:trPr>
          <w:jc w:val="center"/>
          <w:cantSplit/>
        </w:trPr>
        <w:tc>
          <w:tcPr>
            <w:tcW w:w="924"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Costumes 2</w:t>
            </w:r>
          </w:p>
        </w:tc>
        <w:tc>
          <w:tcPr>
            <w:tcW w:w="4076"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Educação sexual nas escolas.</w:t>
            </w:r>
          </w:p>
        </w:tc>
      </w:tr>
      <w:tr w:rsidR="00EF5741" w:rsidTr="00E363A9">
        <w:trPr>
          <w:jc w:val="center"/>
          <w:cantSplit/>
        </w:trPr>
        <w:tc>
          <w:tcPr>
            <w:tcW w:w="924"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Democracia</w:t>
            </w:r>
          </w:p>
        </w:tc>
        <w:tc>
          <w:tcPr>
            <w:tcW w:w="4076"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Em certas circunstâncias, como quando há muito crime ou diante de muita corrupção, os militares devem ter o direito de tomar o poder através de um golpe de estado.</w:t>
            </w:r>
          </w:p>
        </w:tc>
      </w:tr>
      <w:tr w:rsidR="00EF5741" w:rsidTr="00E363A9">
        <w:trPr>
          <w:jc w:val="center"/>
          <w:cantSplit/>
        </w:trPr>
        <w:tc>
          <w:tcPr>
            <w:tcW w:w="924"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Lei e Ordem</w:t>
            </w:r>
          </w:p>
        </w:tc>
        <w:tc>
          <w:tcPr>
            <w:tcW w:w="4076"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 proibição de venda de armas de fogo.</w:t>
            </w:r>
          </w:p>
        </w:tc>
      </w:tr>
      <w:tr w:rsidR="00EF5741" w:rsidTr="00E363A9">
        <w:trPr>
          <w:jc w:val="center"/>
          <w:cantSplit/>
        </w:trPr>
        <w:tc>
          <w:tcPr>
            <w:tcW w:w="924"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Políticas Sociais</w:t>
            </w:r>
          </w:p>
        </w:tc>
        <w:tc>
          <w:tcPr>
            <w:tcW w:w="4076" w:type="pct"/>
          </w:tcPr>
          <w:p w:rsidR="00EF5741" w:rsidRPr="00EF5741" w:rsidRDefault="00EF5741"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Adoção de cotas raciais.</w:t>
            </w:r>
          </w:p>
        </w:tc>
      </w:tr>
      <w:tr w:rsidR="00EF5741" w:rsidTr="00E363A9">
        <w:trPr>
          <w:jc w:val="center"/>
          <w:cantSplit/>
        </w:trPr>
        <w:tc>
          <w:tcPr>
            <w:tcW w:w="924"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Institucional</w:t>
            </w:r>
          </w:p>
        </w:tc>
        <w:tc>
          <w:tcPr>
            <w:tcW w:w="4076"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Pode haver democracia sem que existam partidos políticos.</w:t>
            </w:r>
          </w:p>
        </w:tc>
      </w:tr>
      <w:tr w:rsidR="00EF5741" w:rsidTr="00E363A9">
        <w:trPr>
          <w:jc w:val="center"/>
          <w:cantSplit/>
        </w:trPr>
        <w:tc>
          <w:tcPr>
            <w:tcW w:w="924"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Igualdade</w:t>
            </w:r>
          </w:p>
        </w:tc>
        <w:tc>
          <w:tcPr>
            <w:tcW w:w="4076"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Aumentar a quantidade de impostos pagos pelos ricos.</w:t>
            </w:r>
          </w:p>
        </w:tc>
      </w:tr>
      <w:tr w:rsidR="00EF5741" w:rsidTr="00E363A9">
        <w:trPr>
          <w:jc w:val="center"/>
          <w:cantSplit/>
        </w:trPr>
        <w:tc>
          <w:tcPr>
            <w:tcW w:w="924"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Ambiente 1</w:t>
            </w:r>
          </w:p>
        </w:tc>
        <w:tc>
          <w:tcPr>
            <w:tcW w:w="4076"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 política ambiental atrapalha o desenvolvimento do Brasil.</w:t>
            </w:r>
          </w:p>
        </w:tc>
      </w:tr>
      <w:tr w:rsidR="00EF5741" w:rsidTr="00E363A9">
        <w:trPr>
          <w:jc w:val="center"/>
          <w:cantSplit/>
        </w:trPr>
        <w:tc>
          <w:tcPr>
            <w:tcW w:w="924"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Ambiente 2</w:t>
            </w:r>
          </w:p>
        </w:tc>
        <w:tc>
          <w:tcPr>
            <w:tcW w:w="4076"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 Amazônia deve ser administrada por um conjunto de países e entidades internacionais, e não apenas de acordo com o interesse do Brasil.</w:t>
            </w:r>
          </w:p>
        </w:tc>
      </w:tr>
      <w:tr w:rsidR="00EF5741" w:rsidTr="00E363A9">
        <w:trPr>
          <w:jc w:val="center"/>
          <w:cantSplit/>
        </w:trPr>
        <w:tc>
          <w:tcPr>
            <w:tcW w:w="924"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Ambiente 3</w:t>
            </w:r>
          </w:p>
        </w:tc>
        <w:tc>
          <w:tcPr>
            <w:tcW w:w="4076"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O agronegócio brasileiro precisa de mais espaço para produzir e deve ocupar áreas de floresta que hoje são preservadas.</w:t>
            </w:r>
          </w:p>
        </w:tc>
      </w:tr>
      <w:tr w:rsidR="00EF5741" w:rsidTr="00E363A9">
        <w:trPr>
          <w:jc w:val="center"/>
          <w:cantSplit/>
        </w:trPr>
        <w:tc>
          <w:tcPr>
            <w:tcW w:w="924"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Ambiente 4</w:t>
            </w:r>
          </w:p>
        </w:tc>
        <w:tc>
          <w:tcPr>
            <w:tcW w:w="4076"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Aumento de impostos para preservar o meio ambiente.</w:t>
            </w:r>
          </w:p>
        </w:tc>
      </w:tr>
      <w:tr w:rsidR="00EF5741" w:rsidTr="00E363A9">
        <w:trPr>
          <w:jc w:val="center"/>
          <w:cantSplit/>
        </w:trPr>
        <w:tc>
          <w:tcPr>
            <w:tcW w:w="924"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Relações Internacionais</w:t>
            </w:r>
          </w:p>
        </w:tc>
        <w:tc>
          <w:tcPr>
            <w:tcW w:w="4076" w:type="pct"/>
          </w:tcPr>
          <w:p w:rsidR="00EF5741" w:rsidRPr="00EF5741" w:rsidRDefault="00415554" w:rsidP="00EF5741">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Contratação de médicos estrangeiros para o SUS, como vem fazendo o programa Mais Médicos.</w:t>
            </w:r>
          </w:p>
        </w:tc>
      </w:tr>
    </w:tbl>
    <w:p w:rsidR="00EF5741" w:rsidRPr="00415554" w:rsidRDefault="00415554" w:rsidP="00F808ED">
      <w:pPr>
        <w:spacing w:before="0" w:after="120" w:line="240" w:lineRule="auto"/>
        <w:jc w:val="left"/>
        <w:rPr>
          <w:rFonts w:ascii="Verdana" w:hAnsi="Verdana" w:cs="Verdana" w:eastAsia="Verdana"/>
          <w:sz w:val="16"/>
          <w:szCs w:val="16"/>
          <w:color w:val="000000"/>
        </w:rPr>
        <w:ind w:left="0" w:right="0" w:firstLine="0"/>
        <w:widowControl w:val="1"/>
        <w:keepLines w:val="1"/>
      </w:pPr>
      <w:r>
        <w:rPr>
          <w:rFonts w:ascii="Verdana" w:hAnsi="Verdana" w:cs="Verdana" w:eastAsia="Verdana"/>
          <w:sz w:val="16"/>
          <w:szCs w:val="16"/>
          <w:color w:val="000000"/>
        </w:rPr>
        <w:t xml:space="preserve">Fonte: elaboração dos autores com dados do survey experimental da Netquest, realizado entre 21 de maio e 17 de junho de 2025. O apoio inicial para cada uma das questões políticas na condição de controle pode ser verificado no Apêndice Metodológico.</w:t>
      </w:r>
    </w:p>
    <w:p w:rsidR="00066106" w:rsidRPr="00066106" w:rsidRDefault="00066106" w:rsidP="00066106">
      <w:pPr>
        <w:spacing w:before="140" w:after="80" w:line="280" w:lineRule="exact"/>
        <w:jc w:val="center"/>
        <w:rPr>
          <w:rFonts w:ascii="Verdana" w:hAnsi="Verdana" w:cs="Verdana" w:eastAsia="Verdana"/>
          <w:b w:val="1"/>
          <w:bCs w:val="1"/>
          <w:sz w:val="18"/>
          <w:szCs w:val="18"/>
          <w:color w:val="000000"/>
        </w:rPr>
        <w:ind w:left="0" w:right="0" w:firstLine="0"/>
        <w:widowControl w:val="1"/>
        <w:keepNext w:val="1"/>
        <w:pageBreakBefore w:val="1"/>
      </w:pPr>
      <w:r>
        <w:rPr>
          <w:rFonts w:ascii="Verdana" w:hAnsi="Verdana" w:cs="Verdana" w:eastAsia="Verdana"/>
          <w:b w:val="1"/>
          <w:bCs w:val="1"/>
          <w:sz w:val="18"/>
          <w:szCs w:val="18"/>
          <w:color w:val="000000"/>
        </w:rPr>
        <w:t>Quadro 2 – Lista de tratamentos aplicados no experimento</w:t>
      </w:r>
    </w:p>
    <w:tbl>
      <w:tblPr>
        <w:tblStyle w:val="Tabelacomgrade"/>
        <w:tblW w:w="0" w:type="auto"/>
        <w:tblLook w:val="04A0" w:firstRow="1" w:lastRow="0" w:firstColumn="1" w:lastColumn="0" w:noHBand="0" w:noVBand="1"/>
      </w:tblPr>
      <w:tblGrid>
        <w:gridCol w:w="1803"/>
        <w:gridCol w:w="1803"/>
        <w:gridCol w:w="1803"/>
        <w:gridCol w:w="1803"/>
        <w:gridCol w:w="1804"/>
      </w:tblGrid>
      <w:tr w:rsidR="00066106" w:rsidTr="00066106">
        <w:trPr>
          <w:cantSplit/>
          <w:tblHeader/>
        </w:trPr>
        <w:tc>
          <w:tcPr>
            <w:tcW w:w="1803" w:type="dxa"/>
          </w:tcPr>
          <w:p w:rsidR="00066106" w:rsidRPr="00066106" w:rsidRDefault="00066106" w:rsidP="00066106">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Controle</w:t>
            </w:r>
          </w:p>
        </w:tc>
        <w:tc>
          <w:tcPr>
            <w:tcW w:w="1803" w:type="dxa"/>
          </w:tcPr>
          <w:p w:rsidR="00066106" w:rsidRPr="00066106" w:rsidRDefault="00066106" w:rsidP="00066106">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PT</w:t>
            </w:r>
          </w:p>
        </w:tc>
        <w:tc>
          <w:tcPr>
            <w:tcW w:w="1803" w:type="dxa"/>
          </w:tcPr>
          <w:p w:rsidR="00066106" w:rsidRPr="00066106" w:rsidRDefault="00066106" w:rsidP="00066106">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Lula</w:t>
            </w:r>
          </w:p>
        </w:tc>
        <w:tc>
          <w:tcPr>
            <w:tcW w:w="1803" w:type="dxa"/>
          </w:tcPr>
          <w:p w:rsidR="00066106" w:rsidRPr="00066106" w:rsidRDefault="00066106" w:rsidP="00066106">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Bolsonaro</w:t>
            </w:r>
          </w:p>
        </w:tc>
        <w:tc>
          <w:tcPr>
            <w:tcW w:w="1804" w:type="dxa"/>
          </w:tcPr>
          <w:p w:rsidR="00066106" w:rsidRPr="00066106" w:rsidRDefault="00066106" w:rsidP="00066106">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 xml:space="preserve">Lula </w:t>
            </w:r>
            <w:r>
              <w:rPr>
                <w:rFonts w:ascii="Verdana" w:hAnsi="Verdana" w:cs="Verdana" w:eastAsia="Verdana"/>
                <w:b w:val="1"/>
                <w:bCs/>
                <w:i/>
                <w:iCs/>
                <w:sz w:val="16"/>
                <w:szCs w:val="16"/>
                <w:color w:val="000000"/>
              </w:rPr>
              <w:t>vs.</w:t>
            </w:r>
            <w:r>
              <w:rPr>
                <w:rFonts w:ascii="Verdana" w:hAnsi="Verdana" w:cs="Verdana" w:eastAsia="Verdana"/>
                <w:b w:val="1"/>
                <w:bCs/>
                <w:sz w:val="16"/>
                <w:szCs w:val="16"/>
                <w:color w:val="000000"/>
              </w:rPr>
              <w:t xml:space="preserve"> Bolsonaro</w:t>
            </w:r>
          </w:p>
        </w:tc>
      </w:tr>
      <w:tr w:rsidR="00066106" w:rsidTr="00066106">
        <w:trPr>
          <w:cantSplit/>
        </w:trPr>
        <w:tc>
          <w:tcPr>
            <w:tcW w:w="1803" w:type="dxa"/>
          </w:tcPr>
          <w:p w:rsidR="00066106" w:rsidRPr="00066106" w:rsidRDefault="00066106" w:rsidP="00066106">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Privatização da Petrobrás. Você apoia ou se opõe à privatização da Petrobrás?</w:t>
            </w:r>
          </w:p>
        </w:tc>
        <w:tc>
          <w:tcPr>
            <w:tcW w:w="1803" w:type="dxa"/>
          </w:tcPr>
          <w:p w:rsidR="00066106" w:rsidRPr="00066106" w:rsidRDefault="00066106" w:rsidP="00066106">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 xml:space="preserve">Privatização da Petrobrás. </w:t>
            </w:r>
            <w:r>
              <w:rPr>
                <w:rFonts w:ascii="Verdana" w:hAnsi="Verdana" w:cs="Verdana" w:eastAsia="Verdana"/>
                <w:i/>
                <w:iCs/>
                <w:sz w:val="16"/>
                <w:szCs w:val="16"/>
                <w:u w:val="single"/>
                <w:color w:val="000000"/>
              </w:rPr>
              <w:t>A bancada do PT na Câmara dos Deputados afirmou que se opõe a essa política</w:t>
            </w:r>
            <w:r>
              <w:rPr>
                <w:rFonts w:ascii="Verdana" w:hAnsi="Verdana" w:cs="Verdana" w:eastAsia="Verdana"/>
                <w:sz w:val="16"/>
                <w:szCs w:val="16"/>
                <w:color w:val="000000"/>
              </w:rPr>
              <w:t>. E você? Você apoia ou se opõe à privatização da Petrobrás?</w:t>
            </w:r>
          </w:p>
        </w:tc>
        <w:tc>
          <w:tcPr>
            <w:tcW w:w="1803" w:type="dxa"/>
          </w:tcPr>
          <w:p w:rsidR="00066106" w:rsidRPr="00066106" w:rsidRDefault="00066106" w:rsidP="00066106">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 xml:space="preserve">Privatização da Petrobrás. </w:t>
            </w:r>
            <w:r>
              <w:rPr>
                <w:rFonts w:ascii="Verdana" w:hAnsi="Verdana" w:cs="Verdana" w:eastAsia="Verdana"/>
                <w:i/>
                <w:iCs/>
                <w:sz w:val="16"/>
                <w:szCs w:val="16"/>
                <w:u w:val="single"/>
                <w:color w:val="000000"/>
              </w:rPr>
              <w:t>Lula afirmou que se opõe a essa política</w:t>
            </w:r>
            <w:r>
              <w:rPr>
                <w:rFonts w:ascii="Verdana" w:hAnsi="Verdana" w:cs="Verdana" w:eastAsia="Verdana"/>
                <w:sz w:val="16"/>
                <w:szCs w:val="16"/>
                <w:color w:val="000000"/>
              </w:rPr>
              <w:t>. E você? Você apoia ou se opõe à privatização da Petrobrás?</w:t>
            </w:r>
          </w:p>
        </w:tc>
        <w:tc>
          <w:tcPr>
            <w:tcW w:w="1803" w:type="dxa"/>
          </w:tcPr>
          <w:p w:rsidR="00066106" w:rsidRPr="00066106" w:rsidRDefault="00066106" w:rsidP="00066106">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 xml:space="preserve">Privatização da Petrobrás. </w:t>
            </w:r>
            <w:r>
              <w:rPr>
                <w:rFonts w:ascii="Verdana" w:hAnsi="Verdana" w:cs="Verdana" w:eastAsia="Verdana"/>
                <w:i/>
                <w:iCs/>
                <w:sz w:val="16"/>
                <w:szCs w:val="16"/>
                <w:u w:val="single"/>
                <w:color w:val="000000"/>
              </w:rPr>
              <w:t>Bolsonaro afirmou que apoia essa política</w:t>
            </w:r>
            <w:r>
              <w:rPr>
                <w:rFonts w:ascii="Verdana" w:hAnsi="Verdana" w:cs="Verdana" w:eastAsia="Verdana"/>
                <w:sz w:val="16"/>
                <w:szCs w:val="16"/>
                <w:color w:val="000000"/>
              </w:rPr>
              <w:t>. E você? Você apoia ou se opõe à privatização da Petrobrás?</w:t>
            </w:r>
          </w:p>
        </w:tc>
        <w:tc>
          <w:tcPr>
            <w:tcW w:w="1804" w:type="dxa"/>
          </w:tcPr>
          <w:p w:rsidR="00066106" w:rsidRPr="00066106" w:rsidRDefault="00066106" w:rsidP="00066106">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 xml:space="preserve">Privatização da Petrobrás. </w:t>
            </w:r>
            <w:r>
              <w:rPr>
                <w:rFonts w:ascii="Verdana" w:hAnsi="Verdana" w:cs="Verdana" w:eastAsia="Verdana"/>
                <w:i/>
                <w:iCs/>
                <w:sz w:val="16"/>
                <w:szCs w:val="16"/>
                <w:u w:val="single"/>
                <w:color w:val="000000"/>
              </w:rPr>
              <w:t>Lula afirmou que se opõe a essa política. Já Bolsonaro afirmou que apoia</w:t>
            </w:r>
            <w:r>
              <w:rPr>
                <w:rFonts w:ascii="Verdana" w:hAnsi="Verdana" w:cs="Verdana" w:eastAsia="Verdana"/>
                <w:sz w:val="16"/>
                <w:szCs w:val="16"/>
                <w:color w:val="000000"/>
              </w:rPr>
              <w:t>. E você? Você apoia ou se opõe à privatização da Petrobrás?</w:t>
            </w:r>
          </w:p>
        </w:tc>
      </w:tr>
    </w:tbl>
    <w:p w:rsidR="00066106" w:rsidRPr="00066106" w:rsidRDefault="00066106" w:rsidP="00335900">
      <w:pPr>
        <w:spacing w:before="0" w:after="120" w:line="240" w:lineRule="auto"/>
        <w:jc w:val="left"/>
        <w:rPr>
          <w:rFonts w:ascii="Verdana" w:hAnsi="Verdana" w:cs="Verdana" w:eastAsia="Verdana"/>
          <w:sz w:val="16"/>
          <w:szCs w:val="16"/>
          <w:color w:val="000000"/>
        </w:rPr>
        <w:ind w:left="0" w:right="0" w:firstLine="0"/>
        <w:widowControl w:val="1"/>
        <w:keepLines w:val="1"/>
      </w:pPr>
      <w:r>
        <w:rPr>
          <w:rFonts w:ascii="Verdana" w:hAnsi="Verdana" w:cs="Verdana" w:eastAsia="Verdana"/>
          <w:sz w:val="16"/>
          <w:szCs w:val="16"/>
          <w:color w:val="000000"/>
        </w:rPr>
        <w:t xml:space="preserve">Fonte: elaboração dos autores com dados do survey experimental da Netquest, realizado entre 21 de maio e 17 de junho de 2025.</w:t>
      </w:r>
    </w:p>
    <w:p w:rsidR="00D94C78" w:rsidRPr="00D94C78" w:rsidRDefault="00D94C78" w:rsidP="00D94C78">
      <w:pPr>
        <w:spacing w:before="140" w:after="80" w:line="280" w:lineRule="exact"/>
        <w:jc w:val="center"/>
        <w:rPr>
          <w:rFonts w:ascii="Verdana" w:hAnsi="Verdana" w:cs="Verdana" w:eastAsia="Verdana"/>
          <w:b w:val="1"/>
          <w:bCs w:val="1"/>
          <w:sz w:val="18"/>
          <w:szCs w:val="18"/>
          <w:color w:val="000000"/>
        </w:rPr>
        <w:ind w:left="0" w:right="0" w:firstLine="0"/>
        <w:widowControl w:val="1"/>
        <w:keepNext w:val="1"/>
        <w:pageBreakBefore w:val="1"/>
      </w:pPr>
      <w:r>
        <w:rPr>
          <w:rFonts w:ascii="Verdana" w:hAnsi="Verdana" w:cs="Verdana" w:eastAsia="Verdana"/>
          <w:b w:val="1"/>
          <w:bCs w:val="1"/>
          <w:sz w:val="18"/>
          <w:szCs w:val="18"/>
          <w:color w:val="000000"/>
        </w:rPr>
        <w:t>Tabela 1 – Balanceamento de grupos de tratamento</w:t>
      </w:r>
    </w:p>
    <w:tbl>
      <w:tblPr>
        <w:tblStyle w:val="Tabelacomgrade"/>
        <w:tblW w:w="5000" w:type="pct"/>
        <w:jc w:val="center"/>
        <w:tblLook w:val="04A0" w:firstRow="1" w:lastRow="0" w:firstColumn="1" w:lastColumn="0" w:noHBand="0" w:noVBand="1"/>
      </w:tblPr>
      <w:tblGrid>
        <w:gridCol w:w="1884"/>
        <w:gridCol w:w="1776"/>
        <w:gridCol w:w="1780"/>
        <w:gridCol w:w="1789"/>
        <w:gridCol w:w="1787"/>
      </w:tblGrid>
      <w:tr w:rsidR="00D94C78" w:rsidTr="00D94C78">
        <w:trPr>
          <w:jc w:val="center"/>
          <w:cantSplit/>
          <w:tblHeader/>
        </w:trPr>
        <w:tc>
          <w:tcPr>
            <w:tcW w:w="1045" w:type="pct"/>
          </w:tcPr>
          <w:p w:rsidR="00D94C78" w:rsidRPr="00D94C78" w:rsidRDefault="00D94C78" w:rsidP="00D94C78">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Variável</w:t>
            </w:r>
          </w:p>
        </w:tc>
        <w:tc>
          <w:tcPr>
            <w:tcW w:w="985" w:type="pct"/>
          </w:tcPr>
          <w:p w:rsidR="00D94C78" w:rsidRPr="00D94C78" w:rsidRDefault="00D94C78" w:rsidP="00D94C78">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Lula</w:t>
            </w:r>
          </w:p>
        </w:tc>
        <w:tc>
          <w:tcPr>
            <w:tcW w:w="987" w:type="pct"/>
          </w:tcPr>
          <w:p w:rsidR="00D94C78" w:rsidRPr="00D94C78" w:rsidRDefault="00D94C78" w:rsidP="00D94C78">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PT</w:t>
            </w:r>
          </w:p>
        </w:tc>
        <w:tc>
          <w:tcPr>
            <w:tcW w:w="992" w:type="pct"/>
          </w:tcPr>
          <w:p w:rsidR="00D94C78" w:rsidRPr="00D94C78" w:rsidRDefault="00D94C78" w:rsidP="00D94C78">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Bolsonaro</w:t>
            </w:r>
          </w:p>
        </w:tc>
        <w:tc>
          <w:tcPr>
            <w:tcW w:w="992" w:type="pct"/>
          </w:tcPr>
          <w:p w:rsidR="00D94C78" w:rsidRPr="00D94C78" w:rsidRDefault="00D94C78" w:rsidP="00D94C78">
            <w:pPr>
              <w:jc w:val="left"/>
              <w:rPr>
                <w:rFonts w:ascii="Verdana" w:hAnsi="Verdana" w:cs="Verdana" w:eastAsia="Verdana"/>
                <w:b/>
                <w:bCs/>
                <w:sz w:val="16"/>
                <w:szCs w:val="16"/>
                <w:color w:val="000000"/>
              </w:rPr>
              <w:ind w:left="0" w:right="0" w:firstLine="0"/>
              <w:spacing w:before="0" w:after="0" w:line="240" w:lineRule="auto"/>
              <w:widowControl w:val="1"/>
              <w:keepNext w:val="1"/>
            </w:pPr>
            <w:r>
              <w:rPr>
                <w:rFonts w:ascii="Verdana" w:hAnsi="Verdana" w:cs="Verdana" w:eastAsia="Verdana"/>
                <w:b w:val="1"/>
                <w:bCs/>
                <w:sz w:val="16"/>
                <w:szCs w:val="16"/>
                <w:color w:val="000000"/>
              </w:rPr>
              <w:t>Lula vs. Bolsonaro</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Gênero</w:t>
            </w:r>
          </w:p>
        </w:tc>
        <w:tc>
          <w:tcPr>
            <w:tcW w:w="985"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-0,010</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(0,034)</w:t>
            </w:r>
          </w:p>
        </w:tc>
        <w:tc>
          <w:tcPr>
            <w:tcW w:w="987"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-0,011</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(0,034)</w:t>
            </w:r>
          </w:p>
        </w:tc>
        <w:tc>
          <w:tcPr>
            <w:tcW w:w="992"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-0,020</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(0,034)</w:t>
            </w:r>
          </w:p>
        </w:tc>
        <w:tc>
          <w:tcPr>
            <w:tcW w:w="992"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-0,031</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(0,033)</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Idade</w:t>
            </w:r>
          </w:p>
        </w:tc>
        <w:tc>
          <w:tcPr>
            <w:tcW w:w="985"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-0,531</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(1,064)</w:t>
            </w:r>
          </w:p>
        </w:tc>
        <w:tc>
          <w:tcPr>
            <w:tcW w:w="987"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-0,306</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(1,064)</w:t>
            </w:r>
          </w:p>
        </w:tc>
        <w:tc>
          <w:tcPr>
            <w:tcW w:w="992"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-1,409</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(1,057)</w:t>
            </w:r>
          </w:p>
        </w:tc>
        <w:tc>
          <w:tcPr>
            <w:tcW w:w="992"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-1,147</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(1,051)</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Região</w:t>
            </w:r>
          </w:p>
        </w:tc>
        <w:tc>
          <w:tcPr>
            <w:tcW w:w="985"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-0,067</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(0,057)</w:t>
            </w:r>
          </w:p>
        </w:tc>
        <w:tc>
          <w:tcPr>
            <w:tcW w:w="987"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-0,101</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(0,057)</w:t>
            </w:r>
          </w:p>
        </w:tc>
        <w:tc>
          <w:tcPr>
            <w:tcW w:w="992"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0,027</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(0,057)</w:t>
            </w:r>
          </w:p>
        </w:tc>
        <w:tc>
          <w:tcPr>
            <w:tcW w:w="992"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-0,094</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(0,057)</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Educação</w:t>
            </w:r>
          </w:p>
        </w:tc>
        <w:tc>
          <w:tcPr>
            <w:tcW w:w="985"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0,010</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(0,105)</w:t>
            </w:r>
          </w:p>
        </w:tc>
        <w:tc>
          <w:tcPr>
            <w:tcW w:w="987" w:type="pct"/>
          </w:tcPr>
          <w:p w:rsid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-0,002</w:t>
            </w:r>
          </w:p>
          <w:p w:rsidR="00D94C78" w:rsidRPr="00D94C78" w:rsidRDefault="00D94C78"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(0,105)</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0,199</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(0,105)</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0,140</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(0,104)</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Renda</w:t>
            </w:r>
          </w:p>
        </w:tc>
        <w:tc>
          <w:tcPr>
            <w:tcW w:w="985"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-0,037</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(0,051)</w:t>
            </w:r>
          </w:p>
        </w:tc>
        <w:tc>
          <w:tcPr>
            <w:tcW w:w="987" w:type="pct"/>
          </w:tcPr>
          <w:p w:rsidR="005256A2" w:rsidRDefault="005256A2" w:rsidP="005256A2">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-0,081</w:t>
            </w:r>
          </w:p>
          <w:p w:rsidR="005256A2" w:rsidRPr="00D94C78" w:rsidRDefault="005256A2" w:rsidP="005256A2">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(0,052)</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-0,037</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(0,051)</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-0,028</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(0,051)</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Interesse por política</w:t>
            </w:r>
          </w:p>
        </w:tc>
        <w:tc>
          <w:tcPr>
            <w:tcW w:w="985"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1,757</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(1,123)</w:t>
            </w:r>
          </w:p>
        </w:tc>
        <w:tc>
          <w:tcPr>
            <w:tcW w:w="987"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1,429</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(1,126)</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1,519</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(1,118)</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0,264</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(1,112)</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Autoposicionamento ideológico</w:t>
            </w:r>
          </w:p>
        </w:tc>
        <w:tc>
          <w:tcPr>
            <w:tcW w:w="985"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1,983</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(2,676)</w:t>
            </w:r>
          </w:p>
        </w:tc>
        <w:tc>
          <w:tcPr>
            <w:tcW w:w="987"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-3,086</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(2,683)</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-3,840</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(2,664)</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0,237</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(2,650)</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Identificação PT</w:t>
            </w:r>
          </w:p>
        </w:tc>
        <w:tc>
          <w:tcPr>
            <w:tcW w:w="985"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0,108</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(0,232)</w:t>
            </w:r>
          </w:p>
        </w:tc>
        <w:tc>
          <w:tcPr>
            <w:tcW w:w="987"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0,058</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(0,232)</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0,134</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(0,231)</w:t>
            </w:r>
          </w:p>
        </w:tc>
        <w:tc>
          <w:tcPr>
            <w:tcW w:w="992" w:type="pct"/>
          </w:tcPr>
          <w:p w:rsid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0,178</w:t>
            </w:r>
          </w:p>
          <w:p w:rsidR="005256A2" w:rsidRPr="00D94C78" w:rsidRDefault="005256A2"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(0,230)</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Identificação Lula</w:t>
            </w:r>
          </w:p>
        </w:tc>
        <w:tc>
          <w:tcPr>
            <w:tcW w:w="985"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0,108</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(0,241)</w:t>
            </w:r>
          </w:p>
        </w:tc>
        <w:tc>
          <w:tcPr>
            <w:tcW w:w="987"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0,247</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(0,242)</w:t>
            </w:r>
          </w:p>
        </w:tc>
        <w:tc>
          <w:tcPr>
            <w:tcW w:w="992"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0,376</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(0,240)</w:t>
            </w:r>
          </w:p>
        </w:tc>
        <w:tc>
          <w:tcPr>
            <w:tcW w:w="992"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0,217</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(0,239)</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Identificação PL</w:t>
            </w:r>
          </w:p>
        </w:tc>
        <w:tc>
          <w:tcPr>
            <w:tcW w:w="985"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0,125</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(0,212)</w:t>
            </w:r>
          </w:p>
        </w:tc>
        <w:tc>
          <w:tcPr>
            <w:tcW w:w="987"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-0,183</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(0,213)</w:t>
            </w:r>
          </w:p>
        </w:tc>
        <w:tc>
          <w:tcPr>
            <w:tcW w:w="992"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-0,235</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(0,211)</w:t>
            </w:r>
          </w:p>
        </w:tc>
        <w:tc>
          <w:tcPr>
            <w:tcW w:w="992"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-0,184</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(0,210)</w:t>
            </w:r>
          </w:p>
        </w:tc>
      </w:tr>
      <w:tr w:rsidR="00D94C78" w:rsidTr="00D94C78">
        <w:trPr>
          <w:jc w:val="center"/>
          <w:cantSplit/>
        </w:trPr>
        <w:tc>
          <w:tcPr>
            <w:tcW w:w="1045" w:type="pct"/>
          </w:tcPr>
          <w:p w:rsidR="00D94C78" w:rsidRPr="00D94C78" w:rsidRDefault="00D94C78" w:rsidP="00D94C78">
            <w:pPr>
              <w:rPr>
                <w:rFonts w:ascii="Verdana" w:hAnsi="Verdana" w:cs="Verdana" w:eastAsia="Verdana"/>
                <w:sz w:val="16"/>
                <w:szCs w:val="16"/>
                <w:color w:val="000000"/>
              </w:rPr>
              <w:jc w:val="left"/>
              <w:ind w:left="0" w:right="0" w:firstLine="0"/>
              <w:spacing w:before="0" w:after="0" w:line="240" w:lineRule="auto"/>
              <w:widowControl w:val="1"/>
              <w:keepNext w:val="1"/>
            </w:pPr>
            <w:r>
              <w:rPr>
                <w:rFonts w:ascii="Verdana" w:hAnsi="Verdana" w:cs="Verdana" w:eastAsia="Verdana"/>
                <w:sz w:val="16"/>
                <w:szCs w:val="16"/>
                <w:color w:val="000000"/>
              </w:rPr>
              <w:t>Identificação Bolsonaro</w:t>
            </w:r>
          </w:p>
        </w:tc>
        <w:tc>
          <w:tcPr>
            <w:tcW w:w="985"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0,113</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(0,257)</w:t>
            </w:r>
          </w:p>
        </w:tc>
        <w:tc>
          <w:tcPr>
            <w:tcW w:w="987"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-0,051</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(0,257)</w:t>
            </w:r>
          </w:p>
        </w:tc>
        <w:tc>
          <w:tcPr>
            <w:tcW w:w="992"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0,047</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(0,256)</w:t>
            </w:r>
          </w:p>
        </w:tc>
        <w:tc>
          <w:tcPr>
            <w:tcW w:w="992" w:type="pct"/>
          </w:tcPr>
          <w:p w:rsid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-0,047</w:t>
            </w:r>
          </w:p>
          <w:p w:rsidR="00335900" w:rsidRPr="00D94C78" w:rsidRDefault="00335900" w:rsidP="00D94C78">
            <w:pPr>
              <w:jc w:val="left"/>
              <w:rPr>
                <w:rFonts w:ascii="Verdana" w:hAnsi="Verdana" w:cs="Verdana" w:eastAsia="Verdana"/>
                <w:sz w:val="16"/>
                <w:szCs w:val="16"/>
                <w:color w:val="000000"/>
              </w:rPr>
              <w:ind w:left="0" w:right="0" w:firstLine="0"/>
              <w:spacing w:before="0" w:after="0" w:line="240" w:lineRule="auto"/>
              <w:widowControl w:val="1"/>
              <w:keepNext w:val="1"/>
            </w:pPr>
            <w:r>
              <w:rPr>
                <w:rFonts w:ascii="Verdana" w:hAnsi="Verdana" w:cs="Verdana" w:eastAsia="Verdana"/>
                <w:sz w:val="16"/>
                <w:szCs w:val="16"/>
                <w:color w:val="000000"/>
              </w:rPr>
              <w:t>(0,254)</w:t>
            </w:r>
          </w:p>
        </w:tc>
      </w:tr>
    </w:tbl>
    <w:p w:rsidR="00893172" w:rsidRPr="00335900" w:rsidRDefault="00335900" w:rsidP="00335900">
      <w:pPr>
        <w:spacing w:before="0" w:after="120" w:line="240" w:lineRule="auto"/>
        <w:jc w:val="left"/>
        <w:rPr>
          <w:rFonts w:ascii="Verdana" w:hAnsi="Verdana" w:cs="Verdana" w:eastAsia="Verdana"/>
          <w:sz w:val="16"/>
          <w:szCs w:val="16"/>
          <w:color w:val="000000"/>
        </w:rPr>
        <w:ind w:left="0" w:right="0" w:firstLine="0"/>
        <w:widowControl w:val="1"/>
        <w:keepLines w:val="1"/>
      </w:pPr>
      <w:r>
        <w:rPr>
          <w:rFonts w:ascii="Verdana" w:hAnsi="Verdana" w:cs="Verdana" w:eastAsia="Verdana"/>
          <w:sz w:val="16"/>
          <w:szCs w:val="16"/>
          <w:color w:val="000000"/>
        </w:rPr>
        <w:t xml:space="preserve">Fonte: elaboração dos autores com dados do survey experimental da Netquest, realizado entre 21 de maio e 17 de junho de 2025. Apresenta os resultados da análise de balanceamento entre os grupos experimentais e o grupo controle, com base em variáveis sociodemográficas e atitudinais. Foram estimadas regressões lineares simples para cada variável em relação ao grupo de tratamento. Os coeficientes apresentados referem-se à diferença média entre cada grupo e o controle, com erros-padrão entre parênteses. Não foram encontradas diferenças estatisticamente significativas, indicando que a randomização obteve êxito em produzir grupos comparáveis.</w:t>
      </w:r>
    </w:p>
    <w:p w:rsidR="005A242D" w:rsidRPr="005A242D" w:rsidRDefault="005A242D" w:rsidP="005A242D">
      <w:pPr>
        <w:spacing w:before="140" w:after="80" w:line="280" w:lineRule="exact"/>
        <w:jc w:val="center"/>
        <w:rPr>
          <w:rFonts w:ascii="Verdana" w:hAnsi="Verdana" w:cs="Verdana" w:eastAsia="Verdana"/>
          <w:b w:val="1"/>
          <w:bCs w:val="1"/>
          <w:sz w:val="18"/>
          <w:szCs w:val="18"/>
          <w:color w:val="000000"/>
        </w:rPr>
        <w:ind w:left="0" w:right="0" w:firstLine="0"/>
        <w:widowControl w:val="1"/>
        <w:keepNext w:val="1"/>
        <w:pageBreakBefore w:val="1"/>
      </w:pPr>
      <w:r>
        <w:rPr>
          <w:rFonts w:ascii="Verdana" w:hAnsi="Verdana" w:cs="Verdana" w:eastAsia="Verdana"/>
          <w:b w:val="1"/>
          <w:bCs w:val="1"/>
          <w:sz w:val="18"/>
          <w:szCs w:val="18"/>
          <w:color w:val="000000"/>
        </w:rPr>
        <w:t>Gráfico 1 – Efeito médio do tratamento PT</w:t>
      </w:r>
    </w:p>
    <w:p w:rsidR="005A242D" w:rsidRDefault="00A5240C" w:rsidP="005A242D">
      <w:pPr>
        <w:spacing w:before="0" w:after="0" w:line="240" w:lineRule="auto"/>
        <w:jc w:val="center"/>
        <w:rPr>
          <w:rFonts w:ascii="Verdana" w:hAnsi="Verdana" w:cs="Verdana" w:eastAsia="Verdana"/>
          <w:sz w:val="18"/>
          <w:szCs w:val="18"/>
          <w:color w:val="000000"/>
        </w:rPr>
        <w:ind w:left="0" w:right="0" w:firstLine="0"/>
        <w:widowControl w:val="1"/>
        <w:keepNext w:val="1"/>
      </w:pPr>
      <w:r>
        <w:rPr>
          <w:rFonts w:ascii="Verdana" w:hAnsi="Verdana" w:cs="Verdana" w:eastAsia="Verdana"/>
          <w:noProof/>
          <w:sz w:val="18"/>
          <w:szCs w:val="18"/>
          <w:color w:val="000000"/>
        </w:rPr>
        <w:drawing>
          <wp:inline distT="0" distB="0" distL="0" distR="0" wp14:anchorId="258BC585" wp14:editId="7E253FE7">
            <wp:extent cx="3948799" cy="3948799"/>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co1.png"/>
                    <pic:cNvPicPr/>
                  </pic:nvPicPr>
                  <pic:blipFill>
                    <a:blip r:embed="rId8">
                      <a:extLst>
                        <a:ext uri="{28A0092B-C50C-407E-A947-70E740481C1C}">
                          <a14:useLocalDpi xmlns:a14="http://schemas.microsoft.com/office/drawing/2010/main" val="0"/>
                        </a:ext>
                      </a:extLst>
                    </a:blip>
                    <a:stretch>
                      <a:fillRect/>
                    </a:stretch>
                  </pic:blipFill>
                  <pic:spPr>
                    <a:xfrm>
                      <a:off x="0" y="0"/>
                      <a:ext cx="3948799" cy="3948799"/>
                    </a:xfrm>
                    <a:prstGeom prst="rect">
                      <a:avLst/>
                    </a:prstGeom>
                  </pic:spPr>
                </pic:pic>
              </a:graphicData>
            </a:graphic>
          </wp:inline>
        </w:drawing>
      </w:r>
    </w:p>
    <w:p w:rsidR="00257BF2" w:rsidRPr="000935E3" w:rsidRDefault="005A242D" w:rsidP="000935E3">
      <w:pPr>
        <w:spacing w:before="0" w:after="120" w:line="240" w:lineRule="auto"/>
        <w:jc w:val="left"/>
        <w:rPr>
          <w:rFonts w:ascii="Verdana" w:hAnsi="Verdana" w:cs="Verdana" w:eastAsia="Verdana"/>
          <w:sz w:val="16"/>
          <w:szCs w:val="16"/>
          <w:color w:val="000000"/>
        </w:rPr>
        <w:ind w:left="0" w:right="0" w:firstLine="0"/>
        <w:widowControl w:val="1"/>
        <w:keepLines w:val="1"/>
      </w:pPr>
      <w:r>
        <w:rPr>
          <w:rFonts w:ascii="Verdana" w:hAnsi="Verdana" w:cs="Verdana" w:eastAsia="Verdana"/>
          <w:sz w:val="16"/>
          <w:szCs w:val="16"/>
          <w:color w:val="000000"/>
        </w:rPr>
        <w:t xml:space="preserve">Fonte: elaboração dos autores com dados do survey experimental da Netquest, realizado entre 21 de maio e 17 de junho de 2025. Gráfico dos efeitos médios do tratamento que apresenta uma pista fornecida pela posição da bancada do PT na Câmara dos Deputados, estimados separadamente para indivíduos identificados como petistas (≥7 na escala de identificação) e antipetistas (≤3). Os pontos representam os coeficientes estimados de regressões lineares simples com a variável dependente que representa a adesão ou não a posições mais liberais sobre as pautas e a variável independente que indica pertencimento ou não ao grupo de tratamento. As barras verticais indicam intervalos de confiança de 95%. A linha tracejada representa ausência de efeito (coeficiente zero), usada como referência para interpretar os efeitos estimados. Os coeficientes, erros-padrão e valores de p podem ser encontrados em tabelas no Apêndice Metodológico.</w:t>
      </w:r>
    </w:p>
    <w:p w:rsidR="00093B09" w:rsidRPr="00B52D0F" w:rsidRDefault="00093B09" w:rsidP="00B52D0F">
      <w:pPr>
        <w:spacing w:before="140" w:after="80" w:line="280" w:lineRule="exact"/>
        <w:jc w:val="center"/>
        <w:rPr>
          <w:rFonts w:ascii="Verdana" w:hAnsi="Verdana" w:cs="Verdana" w:eastAsia="Verdana"/>
          <w:b w:val="1"/>
          <w:bCs w:val="1"/>
          <w:sz w:val="18"/>
          <w:szCs w:val="18"/>
          <w:color w:val="000000"/>
        </w:rPr>
        <w:ind w:left="0" w:right="0" w:firstLine="0"/>
        <w:widowControl w:val="1"/>
        <w:keepNext w:val="1"/>
        <w:pageBreakBefore w:val="1"/>
      </w:pPr>
      <w:r>
        <w:rPr>
          <w:rFonts w:ascii="Verdana" w:hAnsi="Verdana" w:cs="Verdana" w:eastAsia="Verdana"/>
          <w:b w:val="1"/>
          <w:bCs w:val="1"/>
          <w:sz w:val="18"/>
          <w:szCs w:val="18"/>
          <w:color w:val="000000"/>
        </w:rPr>
        <w:t>Gráfico 2 – Efeito médio dos tratamentos com líderes políticos</w:t>
      </w:r>
    </w:p>
    <w:p w:rsidR="00093B09" w:rsidRDefault="00A5240C" w:rsidP="00093B09">
      <w:pPr>
        <w:spacing w:before="0" w:after="0" w:line="240" w:lineRule="auto"/>
        <w:jc w:val="center"/>
        <w:rPr>
          <w:rFonts w:ascii="Verdana" w:hAnsi="Verdana" w:cs="Verdana" w:eastAsia="Verdana"/>
          <w:sz w:val="18"/>
          <w:szCs w:val="18"/>
          <w:color w:val="000000"/>
        </w:rPr>
        <w:ind w:left="0" w:right="0" w:firstLine="0"/>
        <w:widowControl w:val="1"/>
        <w:keepNext w:val="1"/>
      </w:pPr>
      <w:r>
        <w:rPr>
          <w:rFonts w:ascii="Verdana" w:hAnsi="Verdana" w:cs="Verdana" w:eastAsia="Verdana"/>
          <w:noProof/>
          <w:sz w:val="18"/>
          <w:szCs w:val="18"/>
          <w:color w:val="000000"/>
        </w:rPr>
        <w:drawing>
          <wp:inline distT="0" distB="0" distL="0" distR="0" wp14:anchorId="761170C8" wp14:editId="1620B034">
            <wp:extent cx="5731510" cy="2863215"/>
            <wp:effectExtent l="0" t="0" r="254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co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863215"/>
                    </a:xfrm>
                    <a:prstGeom prst="rect">
                      <a:avLst/>
                    </a:prstGeom>
                  </pic:spPr>
                </pic:pic>
              </a:graphicData>
            </a:graphic>
          </wp:inline>
        </w:drawing>
      </w:r>
    </w:p>
    <w:p w:rsidR="00B52D0F" w:rsidRPr="00B52D0F" w:rsidRDefault="00B52D0F" w:rsidP="00B52D0F">
      <w:pPr>
        <w:spacing w:before="0" w:after="120" w:line="240" w:lineRule="auto"/>
        <w:jc w:val="left"/>
        <w:rPr>
          <w:rFonts w:ascii="Verdana" w:hAnsi="Verdana" w:cs="Verdana" w:eastAsia="Verdana"/>
          <w:sz w:val="16"/>
          <w:szCs w:val="16"/>
          <w:color w:val="000000"/>
        </w:rPr>
        <w:ind w:left="0" w:right="0" w:firstLine="0"/>
        <w:widowControl w:val="1"/>
        <w:keepLines w:val="1"/>
      </w:pPr>
      <w:r>
        <w:rPr>
          <w:rFonts w:ascii="Verdana" w:hAnsi="Verdana" w:cs="Verdana" w:eastAsia="Verdana"/>
          <w:sz w:val="16"/>
          <w:szCs w:val="16"/>
          <w:color w:val="000000"/>
        </w:rPr>
        <w:t xml:space="preserve">Fonte: elaboração dos autores com dados do survey experimental da Netquest, realizado entre 21 de maio e 17 de junho de 2025. Gráfico dos efeitos médios do tratamento que apresenta uma pista fornecida pela posição de Lula/Bolsonaro/Lula vs. Bolsonaro, estimados separadamente para indivíduos identificados como lulistas/bolsonaristas (≥7 na escala de identificação) e antilulistas/antibolsonaristas (≤3). Os pontos representam os coeficientes estimados de regressões lineares simples com a variável dependente que representa a adesão ou não a posições mais liberais sobre as pautas e a variável independente que indica pertencimento ou não ao grupo de tratamento. As barras verticais indicam intervalos de confiança de 95%. A linha tracejada representa ausência de efeito (coeficiente zero), usada como referência para interpretar os efeitos estimados. Os coeficientes, erros-padrão e valores de p podem ser encontrados em tabelas no Apêndice Metodológico.</w:t>
      </w:r>
    </w:p>
    <w:p w:rsidR="007364CC" w:rsidRPr="00223191" w:rsidRDefault="007364CC" w:rsidP="00223191">
      <w:pPr>
        <w:spacing w:before="140" w:after="80" w:line="280" w:lineRule="exact"/>
        <w:jc w:val="center"/>
        <w:rPr>
          <w:rFonts w:ascii="Verdana" w:hAnsi="Verdana" w:cs="Verdana" w:eastAsia="Verdana"/>
          <w:b w:val="1"/>
          <w:bCs w:val="1"/>
          <w:sz w:val="18"/>
          <w:szCs w:val="18"/>
          <w:color w:val="000000"/>
        </w:rPr>
        <w:ind w:left="0" w:right="0" w:firstLine="0"/>
        <w:widowControl w:val="1"/>
        <w:keepNext w:val="1"/>
        <w:pageBreakBefore w:val="1"/>
      </w:pPr>
      <w:r>
        <w:rPr>
          <w:rFonts w:ascii="Verdana" w:hAnsi="Verdana" w:cs="Verdana" w:eastAsia="Verdana"/>
          <w:b w:val="1"/>
          <w:bCs w:val="1"/>
          <w:sz w:val="18"/>
          <w:szCs w:val="18"/>
          <w:color w:val="000000"/>
        </w:rPr>
        <w:t>Gráfic</w:t>
      </w:r>
      <w:bookmarkStart w:id="0" w:name="_GoBack"/>
      <w:bookmarkEnd w:id="0"/>
      <w:r>
        <w:rPr>
          <w:rFonts w:ascii="Verdana" w:hAnsi="Verdana" w:cs="Verdana" w:eastAsia="Verdana"/>
          <w:b w:val="1"/>
          <w:bCs w:val="1"/>
          <w:sz w:val="18"/>
          <w:szCs w:val="18"/>
          <w:color w:val="000000"/>
        </w:rPr>
        <w:t>o 3 – Efeito médio dos tratamentos por grupo identitário</w:t>
      </w:r>
    </w:p>
    <w:p w:rsidR="00FF51AB" w:rsidRDefault="00A5240C" w:rsidP="00FF51AB">
      <w:pPr>
        <w:spacing w:before="0" w:after="0" w:line="240" w:lineRule="auto"/>
        <w:jc w:val="center"/>
        <w:rPr>
          <w:rFonts w:ascii="Verdana" w:hAnsi="Verdana" w:cs="Verdana" w:eastAsia="Verdana"/>
          <w:sz w:val="18"/>
          <w:szCs w:val="18"/>
          <w:color w:val="000000"/>
        </w:rPr>
        <w:ind w:left="0" w:right="0" w:firstLine="0"/>
        <w:widowControl w:val="1"/>
        <w:keepNext w:val="1"/>
      </w:pPr>
      <w:r>
        <w:rPr>
          <w:rFonts w:ascii="Verdana" w:hAnsi="Verdana" w:cs="Verdana" w:eastAsia="Verdana"/>
          <w:noProof/>
          <w:sz w:val="18"/>
          <w:szCs w:val="18"/>
          <w:color w:val="000000"/>
        </w:rPr>
        <w:drawing>
          <wp:inline distT="0" distB="0" distL="0" distR="0" wp14:anchorId="7F1484FE" wp14:editId="0232F10D">
            <wp:extent cx="5731510" cy="2289810"/>
            <wp:effectExtent l="0" t="0" r="254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co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89810"/>
                    </a:xfrm>
                    <a:prstGeom prst="rect">
                      <a:avLst/>
                    </a:prstGeom>
                  </pic:spPr>
                </pic:pic>
              </a:graphicData>
            </a:graphic>
          </wp:inline>
        </w:drawing>
      </w:r>
    </w:p>
    <w:p w:rsidR="00223191" w:rsidRPr="00B52D0F" w:rsidRDefault="00223191" w:rsidP="00223191">
      <w:pPr>
        <w:spacing w:before="0" w:after="120" w:line="240" w:lineRule="auto"/>
        <w:jc w:val="left"/>
        <w:rPr>
          <w:rFonts w:ascii="Verdana" w:hAnsi="Verdana" w:cs="Verdana" w:eastAsia="Verdana"/>
          <w:sz w:val="16"/>
          <w:szCs w:val="16"/>
          <w:color w:val="000000"/>
        </w:rPr>
        <w:ind w:left="0" w:right="0" w:firstLine="0"/>
        <w:widowControl w:val="1"/>
        <w:keepLines w:val="1"/>
      </w:pPr>
      <w:bookmarkStart w:id="1" w:name="_Hlk204974312"/>
      <w:r>
        <w:rPr>
          <w:rFonts w:ascii="Verdana" w:hAnsi="Verdana" w:cs="Verdana" w:eastAsia="Verdana"/>
          <w:sz w:val="16"/>
          <w:szCs w:val="16"/>
          <w:color w:val="000000"/>
        </w:rPr>
        <w:t xml:space="preserve">Fonte: elaboração dos autores com dados do survey experimental da Netquest, realizado entre 21 de maio e 17 de junho de 2025.</w:t>
      </w:r>
      <w:bookmarkEnd w:id="1"/>
      <w:r>
        <w:rPr>
          <w:rFonts w:ascii="Verdana" w:hAnsi="Verdana" w:cs="Verdana" w:eastAsia="Verdana"/>
          <w:sz w:val="16"/>
          <w:szCs w:val="16"/>
          <w:color w:val="000000"/>
        </w:rPr>
        <w:t xml:space="preserve"> </w:t>
      </w:r>
      <w:r>
        <w:rPr>
          <w:rFonts w:ascii="Verdana" w:hAnsi="Verdana" w:cs="Verdana" w:eastAsia="Verdana"/>
          <w:sz w:val="16"/>
          <w:szCs w:val="16"/>
          <w:color w:val="000000"/>
        </w:rPr>
        <w:t>Gráfico dos efeitos médios do tratamento que apresenta uma pista da fonte fornecida através de informações dadas por elites políticas, estimados separadamente para indivíduos identificados positivamente (≥7 na escala de identificação) ou negativamente (≤3) com algum partido ou político.</w:t>
      </w:r>
      <w:r>
        <w:rPr>
          <w:rFonts w:ascii="Verdana" w:hAnsi="Verdana" w:cs="Verdana" w:eastAsia="Verdana"/>
          <w:sz w:val="16"/>
          <w:szCs w:val="16"/>
          <w:color w:val="000000"/>
        </w:rPr>
        <w:t xml:space="preserve"> Os pontos representam os coeficientes estimados de regressões lineares simples com a variável dependente que representa a adesão ou não a posições mais liberais sobre as pautas e a variável independente que indica pertencimento ou não ao grupo de tratamento. As barras verticais indicam intervalos de confiança de 95%. A linha tracejada representa ausência de efeito (coeficiente zero), usada como referência para interpretar os efeitos estimados. Os coeficientes, erros-padrão e valores de p podem ser encontrados em tabelas no Apêndice Metodológico.</w:t>
      </w:r>
    </w:p>
    <w:sectPr w:rsidR="00E61981" w:rsidRPr="003F7FD1" w:rsidSect="001140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F1668" w:rsidRDefault="00FF1668" w:rsidP="000B03B4">
      <w:pPr>
        <w:spacing w:after="0" w:line="240" w:lineRule="auto"/>
      </w:pPr>
      <w:r>
        <w:separator/>
      </w:r>
    </w:p>
  </w:endnote>
  <w:endnote w:type="continuationSeparator" w:id="0">
    <w:p w:rsidR="00FF1668" w:rsidRDefault="00FF1668" w:rsidP="000B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F1668" w:rsidRDefault="00FF1668" w:rsidP="000B03B4">
      <w:pPr>
        <w:spacing w:before="0" w:after="0" w:line="240" w:lineRule="auto"/>
        <w:jc w:val="both"/>
        <w:ind w:left="0" w:right="0" w:firstLine="0"/>
        <w:widowControl w:val="1"/>
        <w:rPr>
          <w:rFonts w:ascii="Verdana" w:hAnsi="Verdana" w:cs="Verdana" w:eastAsia="Verdana"/>
          <w:sz w:val="16"/>
          <w:szCs w:val="16"/>
          <w:color w:val="000000"/>
        </w:rPr>
        <w:keepLines w:val="1"/>
      </w:pPr>
      <w:r>
        <w:rPr>
          <w:rFonts w:ascii="Verdana" w:hAnsi="Verdana" w:cs="Verdana" w:eastAsia="Verdana"/>
          <w:sz w:val="16"/>
          <w:szCs w:val="16"/>
          <w:color w:val="000000"/>
        </w:rPr>
        <w:separator/>
      </w:r>
    </w:p>
  </w:footnote>
  <w:footnote w:type="continuationSeparator" w:id="0">
    <w:p w:rsidR="00FF1668" w:rsidRDefault="00FF1668" w:rsidP="000B03B4">
      <w:pPr>
        <w:spacing w:before="0" w:after="0" w:line="240" w:lineRule="auto"/>
        <w:jc w:val="both"/>
        <w:ind w:left="0" w:right="0" w:firstLine="0"/>
        <w:widowControl w:val="1"/>
        <w:rPr>
          <w:rFonts w:ascii="Verdana" w:hAnsi="Verdana" w:cs="Verdana" w:eastAsia="Verdana"/>
          <w:sz w:val="16"/>
          <w:szCs w:val="16"/>
          <w:color w:val="000000"/>
        </w:rPr>
        <w:keepLines w:val="1"/>
      </w:pPr>
      <w:r>
        <w:rPr>
          <w:rFonts w:ascii="Verdana" w:hAnsi="Verdana" w:cs="Verdana" w:eastAsia="Verdana"/>
          <w:sz w:val="16"/>
          <w:szCs w:val="16"/>
          <w:color w:val="000000"/>
        </w:rPr>
        <w:continuationSeparator/>
      </w:r>
    </w:p>
  </w:footnote>
  <w:footnote w:id="1">
    <w:p w:rsidR="0041199C" w:rsidRDefault="0041199C">
      <w:pPr>
        <w:pStyle w:val="Textodenotaderodap"/>
        <w:jc w:val="both"/>
        <w:rPr>
          <w:rFonts w:ascii="Verdana" w:hAnsi="Verdana" w:cs="Verdana" w:eastAsia="Verdana"/>
          <w:sz w:val="16"/>
          <w:szCs w:val="16"/>
          <w:color w:val="000000"/>
        </w:rPr>
        <w:ind w:left="0" w:right="0" w:firstLine="0"/>
        <w:spacing w:before="0" w:after="0" w:line="240" w:lineRule="auto"/>
        <w:widowControl w:val="1"/>
        <w:keepLines w:val="1"/>
      </w:pPr>
      <w:r w:rsidRPr="001052DE">
        <w:rPr>
          <w:rStyle w:val="Refdenotaderodap"/>
          <w:rFonts w:ascii="Verdana" w:hAnsi="Verdana" w:cs="Verdana" w:eastAsia="Verdana"/>
          <w:sz w:val="16"/>
          <w:szCs w:val="16"/>
          <w:color w:val="000000"/>
        </w:rPr>
        <w:footnoteRef/>
      </w:r>
      <w:r w:rsidRPr="001052DE">
        <w:rPr>
          <w:rFonts w:ascii="Verdana" w:hAnsi="Verdana" w:cs="Verdana" w:eastAsia="Verdana"/>
          <w:sz w:val="16"/>
          <w:szCs w:val="16"/>
          <w:color w:val="000000"/>
        </w:rPr>
        <w:t xml:space="preserve"> A comparação detalhada da composição da amostra com o Censo de 2022 encontra-se no Apêndice Metodológico (Tabela A1). As principais divergências em relação à população aparecem na composição regional, com sobre-representação do Sudeste e sub-representação do Norte e do Nordeste, e na renda, com menor concentração da amostra na faixa de até dois salários mínimos e maior presença relativa nas faixas superiores. A escolaridade também apresenta diferenças internas quando aberta por categorias, sobretudo na faixa de médio completo ou superior incompleto. Por se tratar de um experimento, essas diferenças afetam apenas a validade externa, não a identificação dos efeitos.</w:t>
      </w:r>
    </w:p>
  </w:footnote>
  <w:footnote w:id="2">
    <w:p w:rsidR="0041199C" w:rsidRDefault="0041199C">
      <w:pPr>
        <w:pStyle w:val="Textodenotaderodap"/>
        <w:jc w:val="both"/>
        <w:rPr>
          <w:rFonts w:ascii="Verdana" w:hAnsi="Verdana" w:cs="Verdana" w:eastAsia="Verdana"/>
          <w:sz w:val="16"/>
          <w:szCs w:val="16"/>
          <w:color w:val="000000"/>
        </w:rPr>
        <w:ind w:left="0" w:right="0" w:firstLine="0"/>
        <w:spacing w:before="0" w:after="0" w:line="240" w:lineRule="auto"/>
        <w:widowControl w:val="1"/>
        <w:keepLines w:val="1"/>
      </w:pPr>
      <w:r w:rsidRPr="001052DE">
        <w:rPr>
          <w:rStyle w:val="Refdenotaderodap"/>
          <w:rFonts w:ascii="Verdana" w:hAnsi="Verdana" w:cs="Verdana" w:eastAsia="Verdana"/>
          <w:sz w:val="16"/>
          <w:szCs w:val="16"/>
          <w:color w:val="000000"/>
        </w:rPr>
        <w:footnoteRef/>
      </w:r>
      <w:r w:rsidRPr="001052DE">
        <w:rPr>
          <w:rFonts w:ascii="Verdana" w:hAnsi="Verdana" w:cs="Verdana" w:eastAsia="Verdana"/>
          <w:sz w:val="16"/>
          <w:szCs w:val="16"/>
          <w:color w:val="000000"/>
        </w:rPr>
        <w:t xml:space="preserve"> As respostas “Não sei” (22,4% do total, variando de 14,3% a 34,3% conforme o item) foram recodificadas como ausentes e excluídas das estimativas, de modo que os efeitos se referem aos respondentes que manifestam uma opinião. Essas respostas concentram-se entre os eleitores menos engajados e a sua incidência não difere significativamente entre tratamento e controle, razão pela qual a exclusão não enviesa as estimativas. Ver, no Apêndice Metodológico, a seção “Tratamento das respostas “Não sei””.</w:t>
      </w:r>
    </w:p>
  </w:footnote>
  <w:footnote w:id="3">
    <w:p w:rsidR="0041199C" w:rsidRPr="000B03B4" w:rsidRDefault="0041199C" w:rsidP="000B03B4">
      <w:pPr>
        <w:pStyle w:val="Textodenotaderodap"/>
        <w:jc w:val="both"/>
        <w:rPr>
          <w:rFonts w:ascii="Verdana" w:hAnsi="Verdana" w:cs="Verdana" w:eastAsia="Verdana"/>
          <w:sz w:val="16"/>
          <w:szCs w:val="16"/>
          <w:color w:val="000000"/>
        </w:rPr>
        <w:ind w:left="0" w:right="0" w:firstLine="0"/>
        <w:spacing w:before="0" w:after="0" w:line="240" w:lineRule="auto"/>
        <w:widowControl w:val="1"/>
        <w:keepLines w:val="1"/>
      </w:pPr>
      <w:r w:rsidRPr="001052DE">
        <w:rPr>
          <w:rStyle w:val="Refdenotaderodap"/>
          <w:rFonts w:ascii="Verdana" w:hAnsi="Verdana" w:cs="Verdana" w:eastAsia="Verdana"/>
          <w:sz w:val="16"/>
          <w:szCs w:val="16"/>
          <w:color w:val="000000"/>
        </w:rPr>
        <w:footnoteRef/>
      </w:r>
      <w:r w:rsidRPr="001052DE">
        <w:rPr>
          <w:rFonts w:ascii="Verdana" w:hAnsi="Verdana" w:cs="Verdana" w:eastAsia="Verdana"/>
          <w:sz w:val="16"/>
          <w:szCs w:val="16"/>
          <w:color w:val="000000"/>
        </w:rPr>
        <w:t xml:space="preserve"> Apesar disso, também estimamos os resultados para cada questão separadamente, o que pode ser verificado no Apêndice Metodológico.</w:t>
      </w:r>
    </w:p>
  </w:footnote>
  <w:footnote w:id="4">
    <w:p w:rsidR="0041199C" w:rsidRDefault="0041199C">
      <w:pPr>
        <w:pStyle w:val="Textodenotaderodap"/>
        <w:jc w:val="both"/>
        <w:rPr>
          <w:rFonts w:ascii="Verdana" w:hAnsi="Verdana" w:cs="Verdana" w:eastAsia="Verdana"/>
          <w:sz w:val="16"/>
          <w:szCs w:val="16"/>
          <w:color w:val="000000"/>
        </w:rPr>
        <w:ind w:left="0" w:right="0" w:firstLine="0"/>
        <w:spacing w:before="0" w:after="0" w:line="240" w:lineRule="auto"/>
        <w:widowControl w:val="1"/>
        <w:keepLines w:val="1"/>
      </w:pPr>
      <w:r w:rsidRPr="001052DE">
        <w:rPr>
          <w:rStyle w:val="Refdenotaderodap"/>
          <w:rFonts w:ascii="Verdana" w:hAnsi="Verdana" w:cs="Verdana" w:eastAsia="Verdana"/>
          <w:sz w:val="16"/>
          <w:szCs w:val="16"/>
          <w:color w:val="000000"/>
        </w:rPr>
        <w:footnoteRef/>
      </w:r>
      <w:r w:rsidRPr="001052DE">
        <w:rPr>
          <w:rFonts w:ascii="Verdana" w:hAnsi="Verdana" w:cs="Verdana" w:eastAsia="Verdana"/>
          <w:sz w:val="16"/>
          <w:szCs w:val="16"/>
          <w:color w:val="000000"/>
        </w:rPr>
        <w:t xml:space="preserve"> Embora estatisticamente significativo no índice agregado (Tabela A5 do Apêndice Metodológico), esse efeito polarizador é difuso quando se examinam as questões individualmente: apenas dois dos treze itens alcançam significância entre os antipetistas (Gráficos A4 e A6 do Apêndice). O resultado agregado reflete, portanto, um deslocamento pequeno e consistente ao longo de toda a bateria temática, e não uma reação intensa a pautas específicas.</w:t>
      </w:r>
    </w:p>
  </w:footnote>
  <w:footnote w:id="5">
    <w:p w:rsidR="0041199C" w:rsidRPr="001052DE" w:rsidRDefault="0041199C">
      <w:pPr>
        <w:pStyle w:val="Textodenotaderodap"/>
        <w:jc w:val="both"/>
        <w:rPr>
          <w:rFonts w:ascii="Verdana" w:hAnsi="Verdana" w:cs="Verdana" w:eastAsia="Verdana"/>
          <w:sz w:val="16"/>
          <w:szCs w:val="16"/>
          <w:color w:val="000000"/>
        </w:rPr>
        <w:ind w:left="0" w:right="0" w:firstLine="0"/>
        <w:spacing w:before="0" w:after="0" w:line="240" w:lineRule="auto"/>
        <w:widowControl w:val="1"/>
        <w:keepLines w:val="1"/>
      </w:pPr>
      <w:r w:rsidRPr="001052DE">
        <w:rPr>
          <w:rStyle w:val="Refdenotaderodap"/>
          <w:rFonts w:ascii="Verdana" w:hAnsi="Verdana" w:cs="Verdana" w:eastAsia="Verdana"/>
          <w:sz w:val="16"/>
          <w:szCs w:val="16"/>
          <w:color w:val="000000"/>
        </w:rPr>
        <w:footnoteRef/>
      </w:r>
      <w:r w:rsidRPr="001052DE">
        <w:rPr>
          <w:rFonts w:ascii="Verdana" w:hAnsi="Verdana" w:cs="Verdana" w:eastAsia="Verdana"/>
          <w:sz w:val="16"/>
          <w:szCs w:val="16"/>
          <w:color w:val="000000"/>
        </w:rPr>
        <w:t xml:space="preserve"> A análise por questão (Gráfico A5 e Tabela A5 do Apêndice Metodológico) reforça esse ponto: os poucos efeitos de Lula que alcançam significância individual apresentam sinais inconsistentes entre as pautas — por exemplo, entre os lulistas, um deslocamento em direção liberal na questão sobre a administração internacional da Amazônia convive com um deslocamento em direção conservadora na questão sobre intervenção militar —, o que confirma a ausência de uma direção coerente de influência.</w:t>
      </w:r>
    </w:p>
  </w:footnote>
  <w:footnote w:id="6">
    <w:p w:rsidR="0041199C" w:rsidRDefault="0041199C">
      <w:pPr>
        <w:pStyle w:val="Textodenotaderodap"/>
        <w:jc w:val="both"/>
        <w:rPr>
          <w:rFonts w:ascii="Verdana" w:hAnsi="Verdana" w:cs="Verdana" w:eastAsia="Verdana"/>
          <w:sz w:val="16"/>
          <w:szCs w:val="16"/>
          <w:color w:val="000000"/>
        </w:rPr>
        <w:ind w:left="0" w:right="0" w:firstLine="0"/>
        <w:spacing w:before="0" w:after="0" w:line="240" w:lineRule="auto"/>
        <w:widowControl w:val="1"/>
        <w:keepLines w:val="1"/>
      </w:pPr>
      <w:r w:rsidRPr="001052DE">
        <w:rPr>
          <w:rStyle w:val="Refdenotaderodap"/>
          <w:rFonts w:ascii="Verdana" w:hAnsi="Verdana" w:cs="Verdana" w:eastAsia="Verdana"/>
          <w:sz w:val="16"/>
          <w:szCs w:val="16"/>
          <w:color w:val="000000"/>
        </w:rPr>
        <w:footnoteRef/>
      </w:r>
      <w:r w:rsidRPr="001052DE">
        <w:rPr>
          <w:rFonts w:ascii="Verdana" w:hAnsi="Verdana" w:cs="Verdana" w:eastAsia="Verdana"/>
          <w:sz w:val="16"/>
          <w:szCs w:val="16"/>
          <w:color w:val="000000"/>
        </w:rPr>
        <w:t xml:space="preserve"> Os resultados desagregados quantificam essa intensificação: no cenário polarizado, a persuasão de Bolsonaro sobre sua base alcança significância em nove das treze questões, contra quatro no tratamento isolado, tornando-se o efeito de persuasão mais disseminado de todo o experimento (Gráfico A7 e Tabela A5 do Apêndice Metodológico).</w:t>
      </w:r>
    </w:p>
  </w:footnote>
  <w:footnote w:id="7">
    <w:p w:rsidR="0041199C" w:rsidRDefault="0041199C">
      <w:pPr>
        <w:pStyle w:val="Textodenotaderodap"/>
        <w:jc w:val="both"/>
        <w:rPr>
          <w:rFonts w:ascii="Verdana" w:hAnsi="Verdana" w:cs="Verdana" w:eastAsia="Verdana"/>
          <w:sz w:val="16"/>
          <w:szCs w:val="16"/>
          <w:color w:val="000000"/>
        </w:rPr>
        <w:ind w:left="0" w:right="0" w:firstLine="0"/>
        <w:spacing w:before="0" w:after="0" w:line="240" w:lineRule="auto"/>
        <w:widowControl w:val="1"/>
        <w:keepLines w:val="1"/>
      </w:pPr>
      <w:r w:rsidRPr="001052DE">
        <w:rPr>
          <w:rStyle w:val="Refdenotaderodap"/>
          <w:rFonts w:ascii="Verdana" w:hAnsi="Verdana" w:cs="Verdana" w:eastAsia="Verdana"/>
          <w:sz w:val="16"/>
          <w:szCs w:val="16"/>
          <w:color w:val="000000"/>
        </w:rPr>
        <w:footnoteRef/>
      </w:r>
      <w:r w:rsidRPr="001052DE">
        <w:rPr>
          <w:rFonts w:ascii="Verdana" w:hAnsi="Verdana" w:cs="Verdana" w:eastAsia="Verdana"/>
          <w:sz w:val="16"/>
          <w:szCs w:val="16"/>
          <w:color w:val="000000"/>
        </w:rPr>
        <w:t xml:space="preserve"> Os modelos desagregados (Tabela A5 do Apêndice Metodológico) mostram, ainda, que a pista do PT polariza não apenas os antipetistas, mas também os antilulistas e os bolsonaristas — um conjunto mais amplo de grupos de oposição do que aquele afetado por Bolsonaro —, o que reforça que, na dimensão da polarização, a marca partidária não se mostra menos influente que a liderança.</w:t>
      </w:r>
    </w:p>
  </w:footnote>
  <w:footnote w:id="8">
    <w:p>
      <w:pPr>
        <w:jc w:val="both"/>
        <w:ind w:left="0" w:right="0" w:firstLine="0"/>
        <w:spacing w:before="0" w:after="0" w:line="240" w:lineRule="auto"/>
        <w:widowControl w:val="1"/>
        <w:rPr>
          <w:rFonts w:ascii="Verdana" w:hAnsi="Verdana" w:cs="Verdana" w:eastAsia="Verdana"/>
          <w:sz w:val="16"/>
          <w:szCs w:val="16"/>
          <w:color w:val="000000"/>
        </w:rPr>
      </w:pPr>
      <w:r>
        <w:rPr>
          <w:rFonts w:ascii="Verdana" w:hAnsi="Verdana" w:cs="Verdana" w:eastAsia="Verdana"/>
          <w:sz w:val="16"/>
          <w:szCs w:val="16"/>
          <w:color w:val="000000"/>
          <w:b w:val="0"/>
          <w:bCs w:val="0"/>
          <w:i w:val="0"/>
          <w:iCs w:val="0"/>
          <w:vertAlign w:val="superscript"/>
        </w:rPr>
        <w:footnoteRef/>
      </w:r>
      <w:r>
        <w:rPr>
          <w:rFonts w:ascii="Verdana" w:hAnsi="Verdana" w:cs="Verdana" w:eastAsia="Verdana"/>
          <w:sz w:val="16"/>
          <w:szCs w:val="16"/>
          <w:color w:val="000000"/>
          <w:b w:val="0"/>
          <w:bCs w:val="0"/>
          <w:i w:val="0"/>
          <w:iCs w:val="0"/>
        </w:rPr>
        <w:t xml:space="preserve"> Os dados, o código de análise e o material suplementar estão disponíveis no GitHub: https://github.com/lucasamorimcp/pistas_fonte. Financiamento: Edital FAPESC/CNPq n. 38/2022, projeto “Clivagens políticas no Brasil” (2023TR000247).</w:t>
      </w:r>
    </w:p>
  </w:footnote>
  <w:footnote w:id="9">
    <w:p>
      <w:pPr>
        <w:jc w:val="both"/>
        <w:ind w:left="0" w:right="0" w:firstLine="0"/>
        <w:spacing w:before="0" w:after="0" w:line="240" w:lineRule="auto"/>
        <w:widowControl w:val="1"/>
        <w:rPr>
          <w:rFonts w:ascii="Verdana" w:hAnsi="Verdana" w:cs="Verdana" w:eastAsia="Verdana"/>
          <w:sz w:val="16"/>
          <w:szCs w:val="16"/>
          <w:color w:val="000000"/>
        </w:rPr>
      </w:pPr>
      <w:r>
        <w:rPr>
          <w:rFonts w:ascii="Verdana" w:hAnsi="Verdana" w:cs="Verdana" w:eastAsia="Verdana"/>
          <w:sz w:val="16"/>
          <w:szCs w:val="16"/>
          <w:color w:val="000000"/>
          <w:b w:val="0"/>
          <w:bCs w:val="0"/>
          <w:i w:val="0"/>
          <w:iCs w:val="0"/>
          <w:vertAlign w:val="superscript"/>
        </w:rPr>
        <w:footnoteRef/>
      </w:r>
      <w:r>
        <w:rPr>
          <w:rFonts w:ascii="Verdana" w:hAnsi="Verdana" w:cs="Verdana" w:eastAsia="Verdana"/>
          <w:sz w:val="16"/>
          <w:szCs w:val="16"/>
          <w:color w:val="000000"/>
          <w:b w:val="0"/>
          <w:bCs w:val="0"/>
          <w:i w:val="0"/>
          <w:iCs w:val="0"/>
        </w:rPr>
        <w:t xml:space="preserve"> Doutorando no Programa de Pós-Graduação em Sociologia e Ciência Política da Universidade Federal de Santa Catarina, Centro de Filosofia e Ciências Humanas. Florianópolis (SC), Brasil. E-mail: lucasamorim0@gmail.com. ORCID: https://orcid.org/0000-0001-7413-6195.</w:t>
      </w:r>
    </w:p>
  </w:footnote>
  <w:footnote w:id="10">
    <w:p>
      <w:pPr>
        <w:jc w:val="both"/>
        <w:ind w:left="0" w:right="0" w:firstLine="0"/>
        <w:spacing w:before="0" w:after="0" w:line="240" w:lineRule="auto"/>
        <w:widowControl w:val="1"/>
        <w:rPr>
          <w:rFonts w:ascii="Verdana" w:hAnsi="Verdana" w:cs="Verdana" w:eastAsia="Verdana"/>
          <w:sz w:val="16"/>
          <w:szCs w:val="16"/>
          <w:color w:val="000000"/>
        </w:rPr>
      </w:pPr>
      <w:r>
        <w:rPr>
          <w:rFonts w:ascii="Verdana" w:hAnsi="Verdana" w:cs="Verdana" w:eastAsia="Verdana"/>
          <w:sz w:val="16"/>
          <w:szCs w:val="16"/>
          <w:color w:val="000000"/>
          <w:b w:val="0"/>
          <w:bCs w:val="0"/>
          <w:i w:val="0"/>
          <w:iCs w:val="0"/>
          <w:vertAlign w:val="superscript"/>
        </w:rPr>
        <w:footnoteRef/>
      </w:r>
      <w:r>
        <w:rPr>
          <w:rFonts w:ascii="Verdana" w:hAnsi="Verdana" w:cs="Verdana" w:eastAsia="Verdana"/>
          <w:sz w:val="16"/>
          <w:szCs w:val="16"/>
          <w:color w:val="000000"/>
          <w:b w:val="0"/>
          <w:bCs w:val="0"/>
          <w:i w:val="0"/>
          <w:iCs w:val="0"/>
        </w:rPr>
        <w:t xml:space="preserve"> Professor Titular na Universidade Federal de Santa Catarina, Departamento de Sociologia e Ciência Política, Centro de Filosofia e Ciências Humanas. Florianópolis (SC), Brasil. E-mail: borbajulian@yahoo.com.br. ORCID: https://orcid.org/0000-0002-0149-6533.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CD775D"/>
    <w:multiLevelType w:val="hybridMultilevel"/>
    <w:tmpl w:val="E7BA4ED4"/>
    <w:lvl w:ilvl="0" w:tplc="0416000F">
      <w:start w:val="1"/>
      <w:numFmt w:val="decimal"/>
      <w:lvlText w:val="%1."/>
      <w:lvlJc w:val="left"/>
      <w:pPr>
        <w:ind w:left="720" w:hanging="360"/>
      </w:pPr>
      <w:rPr>
        <w:rFonts w:ascii="Verdana" w:hAnsi="Verdana" w:cs="Verdana" w:eastAsia="Verdana"/>
        <w:sz w:val="18"/>
        <w:szCs w:val="18"/>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17"/>
    <w:rsid w:val="000019A0"/>
    <w:rsid w:val="0001223B"/>
    <w:rsid w:val="00013760"/>
    <w:rsid w:val="0005096C"/>
    <w:rsid w:val="00066106"/>
    <w:rsid w:val="00077F77"/>
    <w:rsid w:val="00085F3E"/>
    <w:rsid w:val="000935E3"/>
    <w:rsid w:val="00093B09"/>
    <w:rsid w:val="000B03B4"/>
    <w:rsid w:val="000E30E7"/>
    <w:rsid w:val="001034E8"/>
    <w:rsid w:val="001052DE"/>
    <w:rsid w:val="00114017"/>
    <w:rsid w:val="001351FF"/>
    <w:rsid w:val="00187122"/>
    <w:rsid w:val="001A0191"/>
    <w:rsid w:val="001B62D8"/>
    <w:rsid w:val="001D55F1"/>
    <w:rsid w:val="001D69B0"/>
    <w:rsid w:val="001E4376"/>
    <w:rsid w:val="00202197"/>
    <w:rsid w:val="00223191"/>
    <w:rsid w:val="00257BF2"/>
    <w:rsid w:val="002664D3"/>
    <w:rsid w:val="002811F4"/>
    <w:rsid w:val="00294979"/>
    <w:rsid w:val="00296D3E"/>
    <w:rsid w:val="002B06D1"/>
    <w:rsid w:val="002C0738"/>
    <w:rsid w:val="002C69F0"/>
    <w:rsid w:val="002D335C"/>
    <w:rsid w:val="00303E3A"/>
    <w:rsid w:val="00311933"/>
    <w:rsid w:val="00335900"/>
    <w:rsid w:val="00350302"/>
    <w:rsid w:val="00365437"/>
    <w:rsid w:val="003679E7"/>
    <w:rsid w:val="00384746"/>
    <w:rsid w:val="003A235D"/>
    <w:rsid w:val="003C1DF0"/>
    <w:rsid w:val="003D0EDC"/>
    <w:rsid w:val="003D12FD"/>
    <w:rsid w:val="003F7FD1"/>
    <w:rsid w:val="0040226F"/>
    <w:rsid w:val="004055FC"/>
    <w:rsid w:val="00406F77"/>
    <w:rsid w:val="0041199C"/>
    <w:rsid w:val="00415554"/>
    <w:rsid w:val="00435BFF"/>
    <w:rsid w:val="00463273"/>
    <w:rsid w:val="0047119A"/>
    <w:rsid w:val="00472371"/>
    <w:rsid w:val="0049553F"/>
    <w:rsid w:val="004A7DF7"/>
    <w:rsid w:val="004D195A"/>
    <w:rsid w:val="005066E8"/>
    <w:rsid w:val="00516A37"/>
    <w:rsid w:val="005256A2"/>
    <w:rsid w:val="00525C03"/>
    <w:rsid w:val="005631F3"/>
    <w:rsid w:val="00571736"/>
    <w:rsid w:val="00577BF6"/>
    <w:rsid w:val="005840F1"/>
    <w:rsid w:val="005A242D"/>
    <w:rsid w:val="005C2F6E"/>
    <w:rsid w:val="005C3CAB"/>
    <w:rsid w:val="005C42D6"/>
    <w:rsid w:val="005C65E9"/>
    <w:rsid w:val="005D004A"/>
    <w:rsid w:val="005F0D74"/>
    <w:rsid w:val="006067AD"/>
    <w:rsid w:val="0061367F"/>
    <w:rsid w:val="00617C3F"/>
    <w:rsid w:val="00641145"/>
    <w:rsid w:val="006D1D16"/>
    <w:rsid w:val="006D24FE"/>
    <w:rsid w:val="007364CC"/>
    <w:rsid w:val="0077285E"/>
    <w:rsid w:val="00775922"/>
    <w:rsid w:val="00792326"/>
    <w:rsid w:val="007B0995"/>
    <w:rsid w:val="00801ED8"/>
    <w:rsid w:val="0080556F"/>
    <w:rsid w:val="008150E8"/>
    <w:rsid w:val="008163EB"/>
    <w:rsid w:val="00820DA4"/>
    <w:rsid w:val="00836E12"/>
    <w:rsid w:val="00837559"/>
    <w:rsid w:val="00854F80"/>
    <w:rsid w:val="00875B9D"/>
    <w:rsid w:val="00881ECE"/>
    <w:rsid w:val="00884857"/>
    <w:rsid w:val="00893172"/>
    <w:rsid w:val="00897052"/>
    <w:rsid w:val="00907D6A"/>
    <w:rsid w:val="00943670"/>
    <w:rsid w:val="00980514"/>
    <w:rsid w:val="00987201"/>
    <w:rsid w:val="00995618"/>
    <w:rsid w:val="009C2A53"/>
    <w:rsid w:val="009D10CC"/>
    <w:rsid w:val="009D16F7"/>
    <w:rsid w:val="009D2231"/>
    <w:rsid w:val="009E227B"/>
    <w:rsid w:val="00A05734"/>
    <w:rsid w:val="00A07D23"/>
    <w:rsid w:val="00A11284"/>
    <w:rsid w:val="00A11B80"/>
    <w:rsid w:val="00A33A41"/>
    <w:rsid w:val="00A51DC2"/>
    <w:rsid w:val="00A5240C"/>
    <w:rsid w:val="00AA2107"/>
    <w:rsid w:val="00AD2A05"/>
    <w:rsid w:val="00AD3AFE"/>
    <w:rsid w:val="00B02ADA"/>
    <w:rsid w:val="00B52D0F"/>
    <w:rsid w:val="00B54FA7"/>
    <w:rsid w:val="00B65158"/>
    <w:rsid w:val="00BD59DF"/>
    <w:rsid w:val="00BE4F80"/>
    <w:rsid w:val="00C203E3"/>
    <w:rsid w:val="00C3131D"/>
    <w:rsid w:val="00C36BDB"/>
    <w:rsid w:val="00C524EF"/>
    <w:rsid w:val="00C62029"/>
    <w:rsid w:val="00C62B59"/>
    <w:rsid w:val="00C679FD"/>
    <w:rsid w:val="00C76618"/>
    <w:rsid w:val="00C91BB5"/>
    <w:rsid w:val="00C96348"/>
    <w:rsid w:val="00C97480"/>
    <w:rsid w:val="00CB0F16"/>
    <w:rsid w:val="00CC113F"/>
    <w:rsid w:val="00CC2F77"/>
    <w:rsid w:val="00CC7163"/>
    <w:rsid w:val="00CD7DF5"/>
    <w:rsid w:val="00CF217F"/>
    <w:rsid w:val="00CF4627"/>
    <w:rsid w:val="00D00C55"/>
    <w:rsid w:val="00D02B61"/>
    <w:rsid w:val="00D057AE"/>
    <w:rsid w:val="00D17B11"/>
    <w:rsid w:val="00D262EB"/>
    <w:rsid w:val="00D26F54"/>
    <w:rsid w:val="00D4286D"/>
    <w:rsid w:val="00D45280"/>
    <w:rsid w:val="00D80CBB"/>
    <w:rsid w:val="00D8504F"/>
    <w:rsid w:val="00D921D5"/>
    <w:rsid w:val="00D94C78"/>
    <w:rsid w:val="00DA5595"/>
    <w:rsid w:val="00DD63F5"/>
    <w:rsid w:val="00DE5D08"/>
    <w:rsid w:val="00E1302B"/>
    <w:rsid w:val="00E24C6F"/>
    <w:rsid w:val="00E363A9"/>
    <w:rsid w:val="00E4207D"/>
    <w:rsid w:val="00E61981"/>
    <w:rsid w:val="00E62702"/>
    <w:rsid w:val="00EB7135"/>
    <w:rsid w:val="00EF497A"/>
    <w:rsid w:val="00EF5741"/>
    <w:rsid w:val="00F01C21"/>
    <w:rsid w:val="00F1305C"/>
    <w:rsid w:val="00F808ED"/>
    <w:rsid w:val="00F90BA4"/>
    <w:rsid w:val="00FB776C"/>
    <w:rsid w:val="00FC207C"/>
    <w:rsid w:val="00FF1668"/>
    <w:rsid w:val="00FF51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0D2B2"/>
  <w15:chartTrackingRefBased/>
  <w15:docId w15:val="{FF53EA5C-E094-440D-8048-7EC317183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Verdana" w:hAnsi="Verdana" w:cs="Verdana" w:eastAsia="Verdana"/>
        <w:sz w:val="18"/>
        <w:szCs w:val="18"/>
        <w:lang w:val="pt-BR" w:eastAsia="en-US" w:bidi="ar-SA"/>
        <w:color w:val="000000"/>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71736"/>
    <w:rPr>
      <w:color w:val="000000"/>
      <w:u w:val="single"/>
      <w:rFonts w:ascii="Verdana" w:hAnsi="Verdana" w:cs="Verdana" w:eastAsia="Verdana"/>
      <w:sz w:val="18"/>
      <w:szCs w:val="18"/>
    </w:rPr>
  </w:style>
  <w:style w:type="character" w:styleId="MenoPendente">
    <w:name w:val="Unresolved Mention"/>
    <w:basedOn w:val="Fontepargpadro"/>
    <w:uiPriority w:val="99"/>
    <w:semiHidden/>
    <w:unhideWhenUsed/>
    <w:rsid w:val="00CC7163"/>
    <w:rPr>
      <w:color w:val="000000"/>
      <w:shd w:val="clear" w:color="auto" w:fill="E1DFDD"/>
      <w:rFonts w:ascii="Verdana" w:hAnsi="Verdana" w:cs="Verdana" w:eastAsia="Verdana"/>
      <w:sz w:val="18"/>
      <w:szCs w:val="18"/>
    </w:rPr>
  </w:style>
  <w:style w:type="table" w:styleId="Tabelacomgrade">
    <w:name w:val="Table Grid"/>
    <w:basedOn w:val="Tabelanormal"/>
    <w:uiPriority w:val="39"/>
    <w:rsid w:val="00EF5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B06D1"/>
    <w:pPr>
      <w:ind w:left="720"/>
      <w:contextualSpacing/>
    </w:pPr>
  </w:style>
  <w:style w:type="paragraph" w:styleId="NormalWeb">
    <w:name w:val="Normal (Web)"/>
    <w:basedOn w:val="Normal"/>
    <w:uiPriority w:val="99"/>
    <w:semiHidden/>
    <w:unhideWhenUsed/>
    <w:rsid w:val="003F7FD1"/>
    <w:pPr>
      <w:spacing w:before="100" w:beforeAutospacing="1" w:after="100" w:afterAutospacing="1" w:line="240" w:lineRule="auto"/>
    </w:pPr>
    <w:rPr>
      <w:rFonts w:ascii="Verdana" w:hAnsi="Verdana" w:cs="Verdana" w:eastAsia="Verdana"/>
      <w:sz w:val="18"/>
      <w:szCs w:val="18"/>
      <w:lang w:eastAsia="pt-BR"/>
      <w:color w:val="000000"/>
    </w:rPr>
  </w:style>
  <w:style w:type="character" w:styleId="Forte">
    <w:name w:val="Strong"/>
    <w:basedOn w:val="Fontepargpadro"/>
    <w:uiPriority w:val="22"/>
    <w:qFormat/>
    <w:rsid w:val="003F7FD1"/>
    <w:rPr>
      <w:b/>
      <w:bCs/>
      <w:rFonts w:ascii="Verdana" w:hAnsi="Verdana" w:cs="Verdana" w:eastAsia="Verdana"/>
      <w:sz w:val="18"/>
      <w:szCs w:val="18"/>
      <w:color w:val="000000"/>
    </w:rPr>
  </w:style>
  <w:style w:type="character" w:styleId="nfase">
    <w:name w:val="Emphasis"/>
    <w:basedOn w:val="Fontepargpadro"/>
    <w:uiPriority w:val="20"/>
    <w:qFormat/>
    <w:rsid w:val="003F7FD1"/>
    <w:rPr>
      <w:i/>
      <w:iCs/>
      <w:rFonts w:ascii="Verdana" w:hAnsi="Verdana" w:cs="Verdana" w:eastAsia="Verdana"/>
      <w:sz w:val="18"/>
      <w:szCs w:val="18"/>
      <w:color w:val="000000"/>
    </w:rPr>
  </w:style>
  <w:style w:type="character" w:styleId="Refdecomentrio">
    <w:name w:val="annotation reference"/>
    <w:basedOn w:val="Fontepargpadro"/>
    <w:uiPriority w:val="99"/>
    <w:semiHidden/>
    <w:unhideWhenUsed/>
    <w:rsid w:val="00E1302B"/>
    <w:rPr>
      <w:sz w:val="18"/>
      <w:szCs w:val="18"/>
      <w:rFonts w:ascii="Verdana" w:hAnsi="Verdana" w:cs="Verdana" w:eastAsia="Verdana"/>
      <w:color w:val="000000"/>
    </w:rPr>
  </w:style>
  <w:style w:type="paragraph" w:styleId="Textodecomentrio">
    <w:name w:val="annotation text"/>
    <w:basedOn w:val="Normal"/>
    <w:link w:val="TextodecomentrioChar"/>
    <w:uiPriority w:val="99"/>
    <w:semiHidden/>
    <w:unhideWhenUsed/>
    <w:rsid w:val="00E1302B"/>
    <w:pPr>
      <w:spacing w:line="240" w:lineRule="auto"/>
    </w:pPr>
    <w:rPr>
      <w:sz w:val="18"/>
      <w:szCs w:val="18"/>
      <w:rFonts w:ascii="Verdana" w:hAnsi="Verdana" w:cs="Verdana" w:eastAsia="Verdana"/>
      <w:color w:val="000000"/>
    </w:rPr>
  </w:style>
  <w:style w:type="character" w:customStyle="1" w:styleId="TextodecomentrioChar">
    <w:name w:val="Texto de comentário Char"/>
    <w:basedOn w:val="Fontepargpadro"/>
    <w:link w:val="Textodecomentrio"/>
    <w:uiPriority w:val="99"/>
    <w:semiHidden/>
    <w:rsid w:val="00E1302B"/>
    <w:rPr>
      <w:sz w:val="18"/>
      <w:szCs w:val="18"/>
      <w:rFonts w:ascii="Verdana" w:hAnsi="Verdana" w:cs="Verdana" w:eastAsia="Verdana"/>
      <w:color w:val="000000"/>
    </w:rPr>
  </w:style>
  <w:style w:type="paragraph" w:styleId="Assuntodocomentrio">
    <w:name w:val="annotation subject"/>
    <w:basedOn w:val="Textodecomentrio"/>
    <w:next w:val="Textodecomentrio"/>
    <w:link w:val="AssuntodocomentrioChar"/>
    <w:uiPriority w:val="99"/>
    <w:semiHidden/>
    <w:unhideWhenUsed/>
    <w:rsid w:val="00E1302B"/>
    <w:rPr>
      <w:b/>
      <w:bCs/>
      <w:rFonts w:ascii="Verdana" w:hAnsi="Verdana" w:cs="Verdana" w:eastAsia="Verdana"/>
      <w:sz w:val="18"/>
      <w:szCs w:val="18"/>
      <w:color w:val="000000"/>
    </w:rPr>
  </w:style>
  <w:style w:type="character" w:customStyle="1" w:styleId="AssuntodocomentrioChar">
    <w:name w:val="Assunto do comentário Char"/>
    <w:basedOn w:val="TextodecomentrioChar"/>
    <w:link w:val="Assuntodocomentrio"/>
    <w:uiPriority w:val="99"/>
    <w:semiHidden/>
    <w:rsid w:val="00E1302B"/>
    <w:rPr>
      <w:b/>
      <w:bCs/>
      <w:sz w:val="18"/>
      <w:szCs w:val="18"/>
      <w:rFonts w:ascii="Verdana" w:hAnsi="Verdana" w:cs="Verdana" w:eastAsia="Verdana"/>
      <w:color w:val="000000"/>
    </w:rPr>
  </w:style>
  <w:style w:type="paragraph" w:styleId="Reviso">
    <w:name w:val="Revision"/>
    <w:hidden/>
    <w:uiPriority w:val="99"/>
    <w:semiHidden/>
    <w:rsid w:val="00E1302B"/>
    <w:pPr>
      <w:spacing w:after="0" w:line="240" w:lineRule="auto"/>
    </w:pPr>
  </w:style>
  <w:style w:type="paragraph" w:styleId="Textodebalo">
    <w:name w:val="Balloon Text"/>
    <w:basedOn w:val="Normal"/>
    <w:link w:val="TextodebaloChar"/>
    <w:uiPriority w:val="99"/>
    <w:semiHidden/>
    <w:unhideWhenUsed/>
    <w:rsid w:val="003C1DF0"/>
    <w:pPr>
      <w:spacing w:after="0" w:line="240" w:lineRule="auto"/>
    </w:pPr>
    <w:rPr>
      <w:rFonts w:ascii="Verdana" w:hAnsi="Verdana" w:cs="Verdana" w:eastAsia="Verdana"/>
      <w:sz w:val="18"/>
      <w:szCs w:val="18"/>
      <w:color w:val="000000"/>
    </w:rPr>
  </w:style>
  <w:style w:type="character" w:customStyle="1" w:styleId="TextodebaloChar">
    <w:name w:val="Texto de balão Char"/>
    <w:basedOn w:val="Fontepargpadro"/>
    <w:link w:val="Textodebalo"/>
    <w:uiPriority w:val="99"/>
    <w:semiHidden/>
    <w:rsid w:val="003C1DF0"/>
    <w:rPr>
      <w:rFonts w:ascii="Verdana" w:hAnsi="Verdana" w:cs="Verdana" w:eastAsia="Verdana"/>
      <w:sz w:val="18"/>
      <w:szCs w:val="18"/>
      <w:color w:val="000000"/>
    </w:rPr>
  </w:style>
  <w:style w:type="paragraph" w:styleId="Textodenotaderodap">
    <w:name w:val="footnote text"/>
    <w:basedOn w:val="Normal"/>
    <w:link w:val="TextodenotaderodapChar"/>
    <w:uiPriority w:val="99"/>
    <w:semiHidden/>
    <w:unhideWhenUsed/>
    <w:rsid w:val="000B03B4"/>
    <w:pPr>
      <w:spacing w:after="0" w:line="240" w:lineRule="auto"/>
    </w:pPr>
    <w:rPr>
      <w:sz w:val="18"/>
      <w:szCs w:val="18"/>
      <w:rFonts w:ascii="Verdana" w:hAnsi="Verdana" w:cs="Verdana" w:eastAsia="Verdana"/>
      <w:color w:val="000000"/>
    </w:rPr>
  </w:style>
  <w:style w:type="character" w:customStyle="1" w:styleId="TextodenotaderodapChar">
    <w:name w:val="Texto de nota de rodapé Char"/>
    <w:basedOn w:val="Fontepargpadro"/>
    <w:link w:val="Textodenotaderodap"/>
    <w:uiPriority w:val="99"/>
    <w:semiHidden/>
    <w:rsid w:val="000B03B4"/>
    <w:rPr>
      <w:sz w:val="18"/>
      <w:szCs w:val="18"/>
      <w:rFonts w:ascii="Verdana" w:hAnsi="Verdana" w:cs="Verdana" w:eastAsia="Verdana"/>
      <w:color w:val="000000"/>
    </w:rPr>
  </w:style>
  <w:style w:type="character" w:styleId="Refdenotaderodap">
    <w:name w:val="footnote reference"/>
    <w:basedOn w:val="Fontepargpadro"/>
    <w:uiPriority w:val="99"/>
    <w:semiHidden/>
    <w:unhideWhenUsed/>
    <w:rsid w:val="000B03B4"/>
    <w:rPr>
      <w:vertAlign w:val="superscript"/>
      <w:rFonts w:ascii="Verdana" w:hAnsi="Verdana" w:cs="Verdana" w:eastAsia="Verdana"/>
      <w:sz w:val="18"/>
      <w:szCs w:val="18"/>
      <w:color w:val="000000"/>
    </w:rPr>
  </w:style>
  <w:style w:type="paragraph" w:styleId="Cabealho">
    <w:name w:val="header"/>
    <w:basedOn w:val="Normal"/>
    <w:link w:val="CabealhoChar"/>
    <w:uiPriority w:val="99"/>
    <w:unhideWhenUsed/>
    <w:rsid w:val="00C36BD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36BDB"/>
  </w:style>
  <w:style w:type="paragraph" w:styleId="Rodap">
    <w:name w:val="footer"/>
    <w:basedOn w:val="Normal"/>
    <w:link w:val="RodapChar"/>
    <w:uiPriority w:val="99"/>
    <w:unhideWhenUsed/>
    <w:rsid w:val="00C36BDB"/>
    <w:pPr>
      <w:tabs>
        <w:tab w:val="center" w:pos="4252"/>
        <w:tab w:val="right" w:pos="8504"/>
      </w:tabs>
      <w:spacing w:after="0" w:line="240" w:lineRule="auto"/>
    </w:pPr>
  </w:style>
  <w:style w:type="character" w:customStyle="1" w:styleId="RodapChar">
    <w:name w:val="Rodapé Char"/>
    <w:basedOn w:val="Fontepargpadro"/>
    <w:link w:val="Rodap"/>
    <w:uiPriority w:val="99"/>
    <w:rsid w:val="00C36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538979">
      <w:bodyDiv w:val="1"/>
      <w:marLeft w:val="0"/>
      <w:marRight w:val="0"/>
      <w:marTop w:val="0"/>
      <w:marBottom w:val="0"/>
      <w:divBdr>
        <w:top w:val="none" w:sz="0" w:space="0" w:color="auto"/>
        <w:left w:val="none" w:sz="0" w:space="0" w:color="auto"/>
        <w:bottom w:val="none" w:sz="0" w:space="0" w:color="auto"/>
        <w:right w:val="none" w:sz="0" w:space="0" w:color="auto"/>
      </w:divBdr>
      <w:divsChild>
        <w:div w:id="354113550">
          <w:marLeft w:val="0"/>
          <w:marRight w:val="0"/>
          <w:marTop w:val="0"/>
          <w:marBottom w:val="0"/>
          <w:divBdr>
            <w:top w:val="none" w:sz="0" w:space="0" w:color="auto"/>
            <w:left w:val="none" w:sz="0" w:space="0" w:color="auto"/>
            <w:bottom w:val="none" w:sz="0" w:space="0" w:color="auto"/>
            <w:right w:val="none" w:sz="0" w:space="0" w:color="auto"/>
          </w:divBdr>
        </w:div>
        <w:div w:id="714933227">
          <w:marLeft w:val="0"/>
          <w:marRight w:val="0"/>
          <w:marTop w:val="0"/>
          <w:marBottom w:val="0"/>
          <w:divBdr>
            <w:top w:val="none" w:sz="0" w:space="0" w:color="auto"/>
            <w:left w:val="none" w:sz="0" w:space="0" w:color="auto"/>
            <w:bottom w:val="none" w:sz="0" w:space="0" w:color="auto"/>
            <w:right w:val="none" w:sz="0" w:space="0" w:color="auto"/>
          </w:divBdr>
        </w:div>
        <w:div w:id="1491213107">
          <w:marLeft w:val="0"/>
          <w:marRight w:val="0"/>
          <w:marTop w:val="0"/>
          <w:marBottom w:val="0"/>
          <w:divBdr>
            <w:top w:val="none" w:sz="0" w:space="0" w:color="auto"/>
            <w:left w:val="none" w:sz="0" w:space="0" w:color="auto"/>
            <w:bottom w:val="none" w:sz="0" w:space="0" w:color="auto"/>
            <w:right w:val="none" w:sz="0" w:space="0" w:color="auto"/>
          </w:divBdr>
        </w:div>
        <w:div w:id="2125149331">
          <w:marLeft w:val="0"/>
          <w:marRight w:val="0"/>
          <w:marTop w:val="0"/>
          <w:marBottom w:val="0"/>
          <w:divBdr>
            <w:top w:val="none" w:sz="0" w:space="0" w:color="auto"/>
            <w:left w:val="none" w:sz="0" w:space="0" w:color="auto"/>
            <w:bottom w:val="none" w:sz="0" w:space="0" w:color="auto"/>
            <w:right w:val="none" w:sz="0" w:space="0" w:color="auto"/>
          </w:divBdr>
        </w:div>
      </w:divsChild>
    </w:div>
    <w:div w:id="513032019">
      <w:bodyDiv w:val="1"/>
      <w:marLeft w:val="0"/>
      <w:marRight w:val="0"/>
      <w:marTop w:val="0"/>
      <w:marBottom w:val="0"/>
      <w:divBdr>
        <w:top w:val="none" w:sz="0" w:space="0" w:color="auto"/>
        <w:left w:val="none" w:sz="0" w:space="0" w:color="auto"/>
        <w:bottom w:val="none" w:sz="0" w:space="0" w:color="auto"/>
        <w:right w:val="none" w:sz="0" w:space="0" w:color="auto"/>
      </w:divBdr>
    </w:div>
    <w:div w:id="197305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257/pol.20210284" TargetMode="External"/><Relationship Id="rId18" Type="http://schemas.openxmlformats.org/officeDocument/2006/relationships/hyperlink" Target="https://doi.org/10.1590/dados.2025.68.3.378" TargetMode="External"/><Relationship Id="rId26" Type="http://schemas.openxmlformats.org/officeDocument/2006/relationships/hyperlink" Target="https://doi.org/10.1111/pops.12893" TargetMode="External"/><Relationship Id="rId39" Type="http://schemas.openxmlformats.org/officeDocument/2006/relationships/hyperlink" Target="https://doi.org/10.1111/ajps.12152" TargetMode="External"/><Relationship Id="rId21" Type="http://schemas.openxmlformats.org/officeDocument/2006/relationships/hyperlink" Target="https://doi.org/10.1111/ajps.12243" TargetMode="External"/><Relationship Id="rId34" Type="http://schemas.openxmlformats.org/officeDocument/2006/relationships/hyperlink" Target="https://doi.org/10.1016/j.vaccine.2021.03.080" TargetMode="External"/><Relationship Id="rId42" Type="http://schemas.openxmlformats.org/officeDocument/2006/relationships/hyperlink" Target="https://doi.org/10.1037/0033-2909.108.3.480" TargetMode="External"/><Relationship Id="rId47" Type="http://schemas.openxmlformats.org/officeDocument/2006/relationships/hyperlink" Target="https://doi.org/10.1111/ajps.12089" TargetMode="External"/><Relationship Id="rId50" Type="http://schemas.openxmlformats.org/officeDocument/2006/relationships/hyperlink" Target="https://doi.org/10.1111/j.1540-5907.2011.00541.x" TargetMode="External"/><Relationship Id="rId55" Type="http://schemas.openxmlformats.org/officeDocument/2006/relationships/hyperlink" Target="https://doi.org/10.1111/j.1548-2456.2006.tb00345.x"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1109-013-9238-0" TargetMode="External"/><Relationship Id="rId29" Type="http://schemas.openxmlformats.org/officeDocument/2006/relationships/hyperlink" Target="https://doi.org/10.1086/257897" TargetMode="External"/><Relationship Id="rId11" Type="http://schemas.openxmlformats.org/officeDocument/2006/relationships/hyperlink" Target="https://doi.org/10.1016/j.electstud.2015.11.001" TargetMode="External"/><Relationship Id="rId24" Type="http://schemas.openxmlformats.org/officeDocument/2006/relationships/hyperlink" Target="https://doi.org/10.1037/0022-3514.85.5.808" TargetMode="External"/><Relationship Id="rId32" Type="http://schemas.openxmlformats.org/officeDocument/2006/relationships/hyperlink" Target="https://doi.org/10.1111/j.1540-5907.2009.00402.x" TargetMode="External"/><Relationship Id="rId37" Type="http://schemas.openxmlformats.org/officeDocument/2006/relationships/hyperlink" Target="https://censo2022.ibge.gov.br/panorama/" TargetMode="External"/><Relationship Id="rId40" Type="http://schemas.openxmlformats.org/officeDocument/2006/relationships/hyperlink" Target="https://doi.org/10.1146/annurev-polisci-051117-073034" TargetMode="External"/><Relationship Id="rId45" Type="http://schemas.openxmlformats.org/officeDocument/2006/relationships/hyperlink" Target="https://doi.org/10.2307/2944882" TargetMode="External"/><Relationship Id="rId53" Type="http://schemas.openxmlformats.org/officeDocument/2006/relationships/hyperlink" Target="https://doi.org/10.1590/s0103-4014.2022.36106.009" TargetMode="External"/><Relationship Id="rId58" Type="http://schemas.openxmlformats.org/officeDocument/2006/relationships/hyperlink" Target="https://doi.org/10.1111/ajps.12550" TargetMode="External"/><Relationship Id="rId5" Type="http://schemas.openxmlformats.org/officeDocument/2006/relationships/webSettings" Target="webSettings.xml"/><Relationship Id="rId61" Type="http://schemas.openxmlformats.org/officeDocument/2006/relationships/hyperlink" Target="https://doi.org/10.1111/ssqu.13480" TargetMode="External"/><Relationship Id="rId19" Type="http://schemas.openxmlformats.org/officeDocument/2006/relationships/hyperlink" Target="https://doi.org/10.14201/rlop.31370" TargetMode="External"/><Relationship Id="rId14" Type="http://schemas.openxmlformats.org/officeDocument/2006/relationships/hyperlink" Target="https://doi.org/10.1017/S0003055418000795" TargetMode="External"/><Relationship Id="rId22" Type="http://schemas.openxmlformats.org/officeDocument/2006/relationships/hyperlink" Target="https://doi.org/10.1017/S0003055411000165" TargetMode="External"/><Relationship Id="rId27" Type="http://schemas.openxmlformats.org/officeDocument/2006/relationships/hyperlink" Target="https://doi.org/10.1257/aer.20171330" TargetMode="External"/><Relationship Id="rId30" Type="http://schemas.openxmlformats.org/officeDocument/2006/relationships/hyperlink" Target="https://doi.org/10.14201/rlop.32263" TargetMode="External"/><Relationship Id="rId35" Type="http://schemas.openxmlformats.org/officeDocument/2006/relationships/hyperlink" Target="https://doi.org/10.1007/s11109-025-10026-6" TargetMode="External"/><Relationship Id="rId43" Type="http://schemas.openxmlformats.org/officeDocument/2006/relationships/hyperlink" Target="https://doi.org/10.1111/pops.12164" TargetMode="External"/><Relationship Id="rId48" Type="http://schemas.openxmlformats.org/officeDocument/2006/relationships/hyperlink" Target="https://doi.org/10.1017/S0003055418000837" TargetMode="External"/><Relationship Id="rId56" Type="http://schemas.openxmlformats.org/officeDocument/2006/relationships/hyperlink" Target="https://doi.org/10.1177/1866802X1400600306"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590/S0011-52582006000400002" TargetMode="External"/><Relationship Id="rId3" Type="http://schemas.openxmlformats.org/officeDocument/2006/relationships/styles" Target="styles.xml"/><Relationship Id="rId12" Type="http://schemas.openxmlformats.org/officeDocument/2006/relationships/hyperlink" Target="https://doi.org/10.1080/10584609.2020.1772418" TargetMode="External"/><Relationship Id="rId17" Type="http://schemas.openxmlformats.org/officeDocument/2006/relationships/hyperlink" Target="https://doi.org/10.1590/S2178-149420240111" TargetMode="External"/><Relationship Id="rId25" Type="http://schemas.openxmlformats.org/officeDocument/2006/relationships/hyperlink" Target="https://doi.org/10.1177/2053168018822174" TargetMode="External"/><Relationship Id="rId33" Type="http://schemas.openxmlformats.org/officeDocument/2006/relationships/hyperlink" Target="https://doi.org/10.1590/1807-01912021272385" TargetMode="External"/><Relationship Id="rId38" Type="http://schemas.openxmlformats.org/officeDocument/2006/relationships/hyperlink" Target="https://doi.org/10.1093/poq/nfs038" TargetMode="External"/><Relationship Id="rId46" Type="http://schemas.openxmlformats.org/officeDocument/2006/relationships/hyperlink" Target="https://doi.org/10.1017/XPS.2015.19" TargetMode="External"/><Relationship Id="rId59" Type="http://schemas.openxmlformats.org/officeDocument/2006/relationships/hyperlink" Target="https://doi.org/10.1111/j.1540-5907.2006.00214.x" TargetMode="External"/><Relationship Id="rId20" Type="http://schemas.openxmlformats.org/officeDocument/2006/relationships/hyperlink" Target="https://doi.org/10.1111/ajps.12054" TargetMode="External"/><Relationship Id="rId41" Type="http://schemas.openxmlformats.org/officeDocument/2006/relationships/hyperlink" Target="https://doi.org/10.1007/s11109-005-1764-y" TargetMode="External"/><Relationship Id="rId54" Type="http://schemas.openxmlformats.org/officeDocument/2006/relationships/hyperlink" Target="https://doi.org/10.1590/1807-01912016223603" TargetMode="External"/><Relationship Id="rId62" Type="http://schemas.openxmlformats.org/officeDocument/2006/relationships/hyperlink" Target="https://doi.org/10.1017/lap.2023.2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93/ijpor/edac014" TargetMode="External"/><Relationship Id="rId23" Type="http://schemas.openxmlformats.org/officeDocument/2006/relationships/hyperlink" Target="https://doi.org/10.1037/0022-3514.39.5.752" TargetMode="External"/><Relationship Id="rId28" Type="http://schemas.openxmlformats.org/officeDocument/2006/relationships/hyperlink" Target="https://doi.org/10.1111/ajps.12628" TargetMode="External"/><Relationship Id="rId36" Type="http://schemas.openxmlformats.org/officeDocument/2006/relationships/hyperlink" Target="https://doi.org/10.1017/S0003055414000604" TargetMode="External"/><Relationship Id="rId49" Type="http://schemas.openxmlformats.org/officeDocument/2006/relationships/hyperlink" Target="https://doi.org/10.1007/s11109-019-09576-3" TargetMode="External"/><Relationship Id="rId57" Type="http://schemas.openxmlformats.org/officeDocument/2006/relationships/hyperlink" Target="https://doi.org/10.1111/ajps.12050" TargetMode="External"/><Relationship Id="rId10" Type="http://schemas.openxmlformats.org/officeDocument/2006/relationships/image" Target="media/image3.png"/><Relationship Id="rId31" Type="http://schemas.openxmlformats.org/officeDocument/2006/relationships/hyperlink" Target="https://doi.org/10.1590/1807-01912022283560" TargetMode="External"/><Relationship Id="rId44" Type="http://schemas.openxmlformats.org/officeDocument/2006/relationships/hyperlink" Target="https://doi.org/10.1590/2236-9996.2025-6368209-pt" TargetMode="External"/><Relationship Id="rId52" Type="http://schemas.openxmlformats.org/officeDocument/2006/relationships/hyperlink" Target="https://doi.org/10.2307/2111381" TargetMode="External"/><Relationship Id="rId60" Type="http://schemas.openxmlformats.org/officeDocument/2006/relationships/hyperlink" Target="https://doi.org/10.1111/j.1548-2456.2007.tb00374.x"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9B062-2472-4F3A-861F-8866C0647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30</Pages>
  <Words>12377</Words>
  <Characters>66840</Characters>
  <Application>Microsoft Office Word</Application>
  <DocSecurity>0</DocSecurity>
  <Lines>557</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Amorim</cp:lastModifiedBy>
  <cp:revision>27</cp:revision>
  <dcterms:created xsi:type="dcterms:W3CDTF">2025-08-05T12:23:00Z</dcterms:created>
  <dcterms:modified xsi:type="dcterms:W3CDTF">2026-07-06T17:34:00Z</dcterms:modified>
</cp:coreProperties>
</file>