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SkillBridge Pilot: Findings</w:t>
      </w:r>
    </w:p>
    <w:p>
      <w:pPr>
        <w:pStyle w:val="Heading1"/>
      </w:pPr>
      <w:r>
        <w:t xml:space="preserve">1. Participant fit and survey sample</w:t>
      </w:r>
    </w:p>
    <w:p>
      <w:pPr>
        <w:spacing w:after="120"/>
      </w:pPr>
      <w:r>
        <w:t xml:space="preserve">Participants were third-year software-related undergraduates in Madrid with programming coursework and group-project experience but no relevant internship and no professional referral contact. All were actively applying for internships. We also surveyed 11 students. Because the sample is small, we report counts alongside percentages and treat the results as directional.</w:t>
      </w:r>
    </w:p>
    <w:p>
      <w:pPr>
        <w:pStyle w:val="Heading1"/>
      </w:pPr>
      <w:r>
        <w:t xml:space="preserve">2. The student problem</w:t>
      </w:r>
    </w:p>
    <w:p>
      <w:pPr>
        <w:spacing w:after="120"/>
      </w:pPr>
      <w:r>
        <w:rPr>
          <w:b/>
          <w:bCs/>
        </w:rPr>
        <w:t xml:space="preserve">Survey results.</w:t>
      </w:r>
      <w:r>
        <w:t xml:space="preserve"> Application outcomes were weak. Ten of 11 students (91%) had applied in the past 12 months, but only one (9%) had received an offer. Three had reached an interview without an offer, four had applied without getting an interview, and two were still waiting.</w:t>
      </w:r>
    </w:p>
    <w:p>
      <w:pPr>
        <w:spacing w:after="120"/>
      </w:pPr>
      <w:r>
        <w:t xml:space="preserve">The main difficulties were about evidence of experience, not finding openings: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rPr>
          <w:tblHeader/>
        </w:trPr>
        <w:tc>
          <w:tcPr>
            <w:tcW w:type="dxa" w:w="50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1"/>
                <w:szCs w:val="21"/>
              </w:rPr>
              <w:t xml:space="preserve">Application difficulty (up to 3)</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1"/>
                <w:szCs w:val="21"/>
              </w:rPr>
              <w:t xml:space="preserve">Count</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1"/>
                <w:szCs w:val="21"/>
              </w:rPr>
              <w:t xml:space="preserve">Share</w:t>
            </w:r>
          </w:p>
        </w:tc>
      </w:tr>
      <w:tr>
        <w:trPr>
          <w:tblHeader w:val="false"/>
        </w:trPr>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Showing experience beyond coursework</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9</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82%</w:t>
            </w:r>
          </w:p>
        </w:tc>
      </w:tr>
      <w:tr>
        <w:trPr>
          <w:tblHeader w:val="false"/>
        </w:trPr>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Explaining my personal contribution to projects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9</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82%</w:t>
            </w:r>
          </w:p>
        </w:tc>
      </w:tr>
      <w:tr>
        <w:trPr>
          <w:tblHeader w:val="false"/>
        </w:trPr>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Finding relevant opportunities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5</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45%</w:t>
            </w:r>
          </w:p>
        </w:tc>
      </w:tr>
      <w:tr>
        <w:trPr>
          <w:tblHeader w:val="false"/>
        </w:trPr>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Passing interviews or technical assessments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5</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45%</w:t>
            </w:r>
          </w:p>
        </w:tc>
      </w:tr>
      <w:tr>
        <w:trPr>
          <w:tblHeader w:val="false"/>
        </w:trPr>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Meeting technical skill requirements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3</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27%</w:t>
            </w:r>
          </w:p>
        </w:tc>
      </w:tr>
      <w:tr>
        <w:trPr>
          <w:tblHeader w:val="false"/>
        </w:trPr>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Finding time for applications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1</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9%</w:t>
            </w:r>
          </w:p>
        </w:tc>
      </w:tr>
    </w:tbl>
    <w:p>
      <w:pPr>
        <w:spacing w:after="120"/>
      </w:pPr>
    </w:p>
    <w:p>
      <w:pPr>
        <w:spacing w:after="120"/>
      </w:pPr>
      <w:r>
        <w:t xml:space="preserve">Recent project experience was mostly unvalidated. Six students (55%) described their latest project as coursework reviewed only by classmates or staff, and two (18%) as a personal project nobody used. So eight of 11 (73%) had no external user or client behind their work. Only three (27%) had completed a project for a business, organisation or client.</w:t>
      </w:r>
    </w:p>
    <w:p>
      <w:pPr>
        <w:spacing w:after="120"/>
      </w:pPr>
      <w:r>
        <w:t xml:space="preserve">Students named these obstacles to finishing that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rPr>
          <w:tblHeader/>
        </w:trPr>
        <w:tc>
          <w:tcPr>
            <w:tcW w:type="dxa" w:w="50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1"/>
                <w:szCs w:val="21"/>
              </w:rPr>
              <w:t xml:space="preserve">Obstacle (up to 2)</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1"/>
                <w:szCs w:val="21"/>
              </w:rPr>
              <w:t xml:space="preserve">Count</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1"/>
                <w:szCs w:val="21"/>
              </w:rPr>
              <w:t xml:space="preserve">Share</w:t>
            </w:r>
          </w:p>
        </w:tc>
      </w:tr>
      <w:tr>
        <w:trPr>
          <w:tblHeader w:val="false"/>
        </w:trPr>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Lack of feedback or guidance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6</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55%</w:t>
            </w:r>
          </w:p>
        </w:tc>
      </w:tr>
      <w:tr>
        <w:trPr>
          <w:tblHeader w:val="false"/>
        </w:trPr>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Unclear requirements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5</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45%</w:t>
            </w:r>
          </w:p>
        </w:tc>
      </w:tr>
      <w:tr>
        <w:trPr>
          <w:tblHeader w:val="false"/>
        </w:trPr>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Losing motivation</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5</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45%</w:t>
            </w:r>
          </w:p>
        </w:tc>
      </w:tr>
      <w:tr>
        <w:trPr>
          <w:tblHeader w:val="false"/>
        </w:trPr>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Lack of time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3</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27%</w:t>
            </w:r>
          </w:p>
        </w:tc>
      </w:tr>
      <w:tr>
        <w:trPr>
          <w:tblHeader w:val="false"/>
        </w:trPr>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Gaps in technical skills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2</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18%</w:t>
            </w:r>
          </w:p>
        </w:tc>
      </w:tr>
      <w:tr>
        <w:trPr>
          <w:tblHeader w:val="false"/>
        </w:trPr>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Difficulty coordinating with teammates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2</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18%</w:t>
            </w:r>
          </w:p>
        </w:tc>
      </w:tr>
    </w:tbl>
    <w:p>
      <w:pPr>
        <w:spacing w:after="120"/>
      </w:pPr>
    </w:p>
    <w:p>
      <w:pPr>
        <w:spacing w:after="120"/>
      </w:pPr>
      <w:r>
        <w:rPr>
          <w:b/>
          <w:bCs/>
        </w:rPr>
        <w:t xml:space="preserve">Interview results.</w:t>
      </w:r>
      <w:r>
        <w:t xml:space="preserve"> Interviews showed the same pattern in three areas:</w:t>
      </w:r>
    </w:p>
    <w:p>
      <w:pPr>
        <w:pStyle w:val="ListParagraph"/>
        <w:numPr>
          <w:ilvl w:val="0"/>
          <w:numId w:val="2"/>
        </w:numPr>
        <w:spacing w:after="80"/>
      </w:pPr>
      <w:r>
        <w:rPr>
          <w:b/>
          <w:bCs/>
        </w:rPr>
        <w:t xml:space="preserve">Getting a manageable real brief.</w:t>
      </w:r>
      <w:r>
        <w:t xml:space="preserve"> Students considered improving coursework, starting a personal project, finding a small business to help, or applying with what they had. Most chose coursework because they could start immediately. Finding a client meant identifying who needed help, earning their trust and agreeing a scope, and students didn't know how to do any of that.</w:t>
      </w:r>
    </w:p>
    <w:p>
      <w:pPr>
        <w:pStyle w:val="ListParagraph"/>
        <w:numPr>
          <w:ilvl w:val="0"/>
          <w:numId w:val="2"/>
        </w:numPr>
        <w:spacing w:after="80"/>
      </w:pPr>
      <w:r>
        <w:rPr>
          <w:b/>
          <w:bCs/>
        </w:rPr>
        <w:t xml:space="preserve">Finishing delivery.</w:t>
      </w:r>
      <w:r>
        <w:t xml:space="preserve"> Deployment and deciding what counted as "finished" were the main sticking points. One participant's earlier project had also stalled at deployment.</w:t>
      </w:r>
    </w:p>
    <w:p>
      <w:pPr>
        <w:pStyle w:val="ListParagraph"/>
        <w:numPr>
          <w:ilvl w:val="0"/>
          <w:numId w:val="2"/>
        </w:numPr>
        <w:spacing w:after="80"/>
      </w:pPr>
      <w:r>
        <w:rPr>
          <w:b/>
          <w:bCs/>
        </w:rPr>
        <w:t xml:space="preserve">Documenting individual contribution.</w:t>
      </w:r>
      <w:r>
        <w:t xml:space="preserve"> Students could point to their commits, but had no external client, no record of acceptance and only classroom testing to discuss. In interviews, recruiters asked what the student personally built, who used it and how they knew it worked, and students had no strong answers. Effort figures were estimates, and the time came out of interview preparation.</w:t>
      </w:r>
    </w:p>
    <w:p>
      <w:pPr>
        <w:spacing w:after="120"/>
      </w:pPr>
      <w:r>
        <w:t xml:space="preserve">Students wanted to keep familiar tools and peer collaboration. What was missing was a bounded brief, someone to turn to when stuck, and an external person to confirm the result met a real need.</w:t>
      </w:r>
    </w:p>
    <w:p>
      <w:pPr>
        <w:spacing w:after="120"/>
      </w:pPr>
      <w:r>
        <w:rPr>
          <w:b/>
          <w:bCs/>
        </w:rPr>
        <w:t xml:space="preserve">Problem statement supported:</w:t>
      </w:r>
      <w:r>
        <w:t xml:space="preserve"> students already try to create demonstrable work, but struggle to obtain a manageable real brief, finish delivery and document credible individual contributions.</w:t>
      </w:r>
    </w:p>
    <w:p>
      <w:pPr>
        <w:pStyle w:val="Heading1"/>
      </w:pPr>
      <w:r>
        <w:t xml:space="preserve">3. Student interest and commitment</w:t>
      </w:r>
    </w:p>
    <w:p>
      <w:pPr>
        <w:spacing w:after="120"/>
      </w:pPr>
      <w:r>
        <w:rPr>
          <w:b/>
          <w:bCs/>
        </w:rPr>
        <w:t xml:space="preserve">What would drive participation (survey, up to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rPr>
          <w:tblHeader/>
        </w:trPr>
        <w:tc>
          <w:tcPr>
            <w:tcW w:type="dxa" w:w="50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1"/>
                <w:szCs w:val="21"/>
              </w:rPr>
              <w:t xml:space="preserve">Factor</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1"/>
                <w:szCs w:val="21"/>
              </w:rPr>
              <w:t xml:space="preserve">Count</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1"/>
                <w:szCs w:val="21"/>
              </w:rPr>
              <w:t xml:space="preserve">Share</w:t>
            </w:r>
          </w:p>
        </w:tc>
      </w:tr>
      <w:tr>
        <w:trPr>
          <w:tblHeader w:val="false"/>
        </w:trPr>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Clear scope and deadlines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6</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55%</w:t>
            </w:r>
          </w:p>
        </w:tc>
      </w:tr>
      <w:tr>
        <w:trPr>
          <w:tblHeader w:val="false"/>
        </w:trPr>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Relevance to my target career</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6</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55%</w:t>
            </w:r>
          </w:p>
        </w:tc>
      </w:tr>
      <w:tr>
        <w:trPr>
          <w:tblHeader w:val="false"/>
        </w:trPr>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Access to technical guidance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5</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45%</w:t>
            </w:r>
          </w:p>
        </w:tc>
      </w:tr>
      <w:tr>
        <w:trPr>
          <w:tblHeader w:val="false"/>
        </w:trPr>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Feedback or a reference from the business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5</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45%</w:t>
            </w:r>
          </w:p>
        </w:tc>
      </w:tr>
      <w:tr>
        <w:trPr>
          <w:tblHeader w:val="false"/>
        </w:trPr>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Ability to show the work in my portfolio</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3</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27%</w:t>
            </w:r>
          </w:p>
        </w:tc>
      </w:tr>
      <w:tr>
        <w:trPr>
          <w:tblHeader w:val="false"/>
        </w:trPr>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Payment amount</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3</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27%</w:t>
            </w:r>
          </w:p>
        </w:tc>
      </w:tr>
    </w:tbl>
    <w:p>
      <w:pPr>
        <w:spacing w:after="120"/>
      </w:pPr>
    </w:p>
    <w:p>
      <w:pPr>
        <w:spacing w:after="120"/>
      </w:pPr>
      <w:r>
        <w:t xml:space="preserve">Payment ranked below scope, career relevance, guidance and a business reference. Students seem to value structure and credible evidence more than the fee itself.</w:t>
      </w:r>
    </w:p>
    <w:p>
      <w:pPr>
        <w:spacing w:after="120"/>
      </w:pPr>
      <w:r>
        <w:rPr>
          <w:b/>
          <w:bCs/>
        </w:rPr>
        <w:t xml:space="preserve">Capacity.</w:t>
      </w:r>
      <w:r>
        <w:t xml:space="preserve"> Five students (45%) could commit 2–4 hours a week, three (27%) could commit 5–7 hours, and three (27%) less than 2 hours. Eight of 11 (73%) could give at least 2 hours a week.</w:t>
      </w:r>
    </w:p>
    <w:p>
      <w:pPr>
        <w:spacing w:after="120"/>
      </w:pPr>
      <w:r>
        <w:rPr>
          <w:b/>
          <w:bCs/>
        </w:rPr>
        <w:t xml:space="preserve">Next step they would take.</w:t>
      </w:r>
      <w:r>
        <w:t xml:space="preserve"> Four students (36%) would review a specific project brief, payment and schedule, three (27%) would attend an information session, and one (9%) wanted occasional updates. Three (27%) wanted to do nothing at this time.</w:t>
      </w:r>
    </w:p>
    <w:p>
      <w:pPr>
        <w:spacing w:after="120"/>
      </w:pPr>
      <w:r>
        <w:rPr>
          <w:b/>
          <w:bCs/>
        </w:rPr>
        <w:t xml:space="preserve">Interview results.</w:t>
      </w:r>
      <w:r>
        <w:t xml:space="preserve"> When students received a genuine, funded offer with clear terms, they acted on it. They reviewed the brief, dates, hours, compensation and portfolio permissions. Their work samples were reviewed, they attended the briefing, reserved time in their calendars and accepted before the deadline. Some postponed a personal project to do so while continuing their internship applications. Their stated reason was that they would deliver something a client needed and be able to show exactly what they contributed.</w:t>
      </w:r>
    </w:p>
    <w:p>
      <w:pPr>
        <w:spacing w:after="120"/>
      </w:pPr>
      <w:r>
        <w:rPr>
          <w:b/>
          <w:bCs/>
        </w:rPr>
        <w:t xml:space="preserve">Against the 20% assumption.</w:t>
      </w:r>
      <w:r>
        <w:t xml:space="preserve"> The 36% who would review a concrete offer is above the 20% readiness assumption. That figure measures stated willingness, not accepted offers, and the sample is small. The assumption should still be treated as a pilot-cohort result, not an established success rate.</w:t>
      </w:r>
    </w:p>
    <w:p>
      <w:pPr>
        <w:pStyle w:val="Heading1"/>
      </w:pPr>
      <w:r>
        <w:t xml:space="preserve">4. Business interest and willingness to pay</w:t>
      </w:r>
    </w:p>
    <w:p>
      <w:pPr>
        <w:spacing w:after="120"/>
      </w:pPr>
      <w:r>
        <w:t xml:space="preserve">After we guided businesses through the SkillBridge prototype, they showed interest and willingness to pay for the service. Businesses with a current digital task that their existing arrangement hadn't resolved responded most strongly. They understood the students' experience level and saw how the scope, price, deadline, acceptance criteria and support arrangements would work.</w:t>
      </w:r>
    </w:p>
    <w:p>
      <w:pPr>
        <w:spacing w:after="120"/>
      </w:pPr>
      <w:r>
        <w:t xml:space="preserve">This is a signal of interest and willingness to pay, not a completed commercial commitment. Businesses did not sign the charter, so the commercial test, which required at least 2 of the original 10 qualifying businesses to both sign and pay within 10 days, remains unresolved. Interest alone does not settle that assumption.</w:t>
      </w:r>
    </w:p>
    <w:p>
      <w:pPr>
        <w:pStyle w:val="Heading1"/>
      </w:pPr>
      <w:r>
        <w:t xml:space="preserve">5. Delivery evidence (M1–M9)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1"/>
                <w:szCs w:val="21"/>
              </w:rPr>
              <w:t xml:space="preserve">Measure</w:t>
            </w:r>
          </w:p>
        </w:tc>
        <w:tc>
          <w:tcPr>
            <w:tcW w:type="dxa" w:w="62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1"/>
                <w:szCs w:val="21"/>
              </w:rPr>
              <w:t xml:space="preserve">Finding</w:t>
            </w:r>
          </w:p>
        </w:tc>
      </w:tr>
      <w:tr>
        <w:trPr>
          <w:tblHeader w:val="false"/>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sz w:val="21"/>
                <w:szCs w:val="21"/>
              </w:rPr>
              <w:t xml:space="preserve">M1: Setup effort and waiting</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Kickoff happened on the promised date. The organiser supplied the client and agreed brief, removing the client-search bottleneck.</w:t>
            </w:r>
          </w:p>
        </w:tc>
      </w:tr>
      <w:tr>
        <w:trPr>
          <w:tblHeader w:val="false"/>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sz w:val="21"/>
                <w:szCs w:val="21"/>
              </w:rPr>
              <w:t xml:space="preserve">M2: Expenses, pay and hours</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Students received the agreed payment, and recorded hours (including setup and revisions) stayed within the accepted commitment.</w:t>
            </w:r>
          </w:p>
        </w:tc>
      </w:tr>
      <w:tr>
        <w:trPr>
          <w:tblHeader w:val="false"/>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sz w:val="21"/>
                <w:szCs w:val="21"/>
              </w:rPr>
              <w:t xml:space="preserve">M3: Fit</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Work matched students' skills, language and timetables, with no unexpected availability needed during exams.</w:t>
            </w:r>
          </w:p>
        </w:tc>
      </w:tr>
      <w:tr>
        <w:trPr>
          <w:tblHeader w:val="false"/>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sz w:val="21"/>
                <w:szCs w:val="21"/>
              </w:rPr>
              <w:t xml:space="preserve">M4: Traceability</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Records linked each student's contribution to version history, the deliverable, client feedback and acceptance, with permission to share.</w:t>
            </w:r>
          </w:p>
        </w:tc>
      </w:tr>
      <w:tr>
        <w:trPr>
          <w:tblHeader w:val="false"/>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sz w:val="21"/>
                <w:szCs w:val="21"/>
              </w:rPr>
              <w:t xml:space="preserve">M5: Tools and access</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Necessary access arrived in time, and tool setup and manual transfers stayed within planned effort.</w:t>
            </w:r>
          </w:p>
        </w:tc>
      </w:tr>
      <w:tr>
        <w:trPr>
          <w:tblHeader w:val="false"/>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sz w:val="21"/>
                <w:szCs w:val="21"/>
              </w:rPr>
              <w:t xml:space="preserve">M6: Repeatability</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A subsequent campaign using the same process also reached its milestones, with withdrawals and delays retained in the results.</w:t>
            </w:r>
          </w:p>
        </w:tc>
      </w:tr>
      <w:tr>
        <w:trPr>
          <w:tblHeader w:val="false"/>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sz w:val="21"/>
                <w:szCs w:val="21"/>
              </w:rPr>
              <w:t xml:space="preserve">M7: Quality</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Clients checked deliverables against the original acceptance criteria and accepted them by the deadline after bounded rework.</w:t>
            </w:r>
          </w:p>
        </w:tc>
      </w:tr>
      <w:tr>
        <w:trPr>
          <w:tblHeader w:val="false"/>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sz w:val="21"/>
                <w:szCs w:val="21"/>
              </w:rPr>
              <w:t xml:space="preserve">M8: Support</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Delivery stayed within the agreed support budget. Students did the substantive work, and mentors did not have to take over.</w:t>
            </w:r>
          </w:p>
        </w:tc>
      </w:tr>
      <w:tr>
        <w:trPr>
          <w:tblHeader w:val="false"/>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sz w:val="21"/>
                <w:szCs w:val="21"/>
              </w:rPr>
              <w:t xml:space="preserve">M9: Clarification and revisions</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1"/>
                <w:szCs w:val="21"/>
              </w:rPr>
              <w:t xml:space="preserve">Briefs gave enough direction to proceed, and clarifications and revisions stayed within agreed time budgets.</w:t>
            </w:r>
          </w:p>
        </w:tc>
      </w:tr>
    </w:tbl>
    <w:p>
      <w:pPr>
        <w:spacing w:after="120"/>
      </w:pPr>
    </w:p>
    <w:p>
      <w:pPr>
        <w:spacing w:after="120"/>
      </w:pPr>
      <w:r>
        <w:t xml:space="preserve">After delivery, businesses reported that the result met the agreed criteria and was in use. Their briefing and review time stayed within the planned allowance. They received a handover and understood who was responsible for future changes.</w:t>
      </w:r>
    </w:p>
    <w:p>
      <w:pPr>
        <w:pStyle w:val="Heading1"/>
      </w:pPr>
      <w:r>
        <w:t xml:space="preserve">6. Recruiter value</w:t>
      </w:r>
    </w:p>
    <w:p>
      <w:pPr>
        <w:spacing w:after="120"/>
      </w:pPr>
      <w:r>
        <w:t xml:space="preserve">Recruiters compared each student's existing project with their completed campaign evidence. They reported that the campaign record gave clearer evidence of individual contribution. They could connect the student's work to a requirement, inspect the artifact and see the client's feedback and acceptance. The record also surfaced specific technical decisions to explore in interviews. Recruiters said the evidence behind the record was the valuable part.</w:t>
      </w:r>
    </w:p>
    <w:p>
      <w:pPr>
        <w:spacing w:after="120"/>
      </w:pPr>
      <w:r>
        <w:t xml:space="preserve">Repeated judgments like these support the record's usefulness for evaluation. Whether it improves hiring outcomes would need a separate test.</w:t>
      </w:r>
    </w:p>
    <w:p>
      <w:pPr>
        <w:pStyle w:val="Heading1"/>
      </w:pPr>
      <w:r>
        <w:t xml:space="preserve">7. Interpretation</w:t>
      </w:r>
    </w:p>
    <w:p>
      <w:pPr>
        <w:spacing w:after="120"/>
      </w:pPr>
      <w:r>
        <w:t xml:space="preserve">For this tested cohort, SkillBridge addressed an existing student problem, drew business interest and stated willingness to pay, attracted concrete student interest and commitments, and produced accepted work within the planned support limits. Recruiters could assess individual contributions more clearly.</w:t>
      </w:r>
    </w:p>
    <w:p>
      <w:pPr>
        <w:spacing w:after="120"/>
      </w:pPr>
      <w:r>
        <w:t xml:space="preserve">These results support another bounded paid pilot, with the signed-and-paid business test still to be completed. Regional demand, profitability and performance at scale remain unproven.</w:t>
      </w:r>
    </w:p>
    <w:p>
      <w:pPr>
        <w:spacing w:after="120"/>
      </w:pPr>
      <w:r>
        <w:rPr>
          <w:b/>
          <w:bCs/>
        </w:rPr>
        <w:t xml:space="preserve">Limitations.</w:t>
      </w:r>
      <w:r>
        <w:t xml:space="preserve"> The survey had only 11 respondents, so one student moves a result by 9 percentage points. Responses are self-reported, and stated willingness often overstates actual follow-through. The survey doesn't ask about year of study or city, and the timestamps are in Eastern European time, so we cannot confirm from the data that all respondents match the Madrid third-year segment.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rFonts w:ascii="Calibri" w:cs="Calibri" w:eastAsia="Calibri" w:hAnsi="Calibri"/>
      <w:b/>
      <w:bCs/>
      <w:color w:val="1F3864"/>
      <w:sz w:val="44"/>
      <w:szCs w:val="44"/>
    </w:rPr>
  </w:style>
  <w:style w:type="paragraph" w:styleId="Heading1">
    <w:name w:val="Heading 1"/>
    <w:basedOn w:val="Normal"/>
    <w:next w:val="Normal"/>
    <w:qFormat/>
    <w:pPr>
      <w:spacing w:after="140" w:before="320"/>
      <w:outlineLvl w:val="0"/>
    </w:pPr>
    <w:rPr>
      <w:rFonts w:ascii="Calibri" w:cs="Calibri" w:eastAsia="Calibri" w:hAnsi="Calibri"/>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2026-10-01T12:39:05.512Z</dcterms:created>
  <dcterms:modified xsi:type="dcterms:W3CDTF">2026-10-01T12:39:05.520Z</dcterms:modified>
</cp:coreProperties>
</file>

<file path=docProps/custom.xml><?xml version="1.0" encoding="utf-8"?>
<Properties xmlns="http://schemas.openxmlformats.org/officeDocument/2006/custom-properties" xmlns:vt="http://schemas.openxmlformats.org/officeDocument/2006/docPropsVTypes"/>
</file>