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97E2C" w14:textId="5296690D" w:rsidR="00681106" w:rsidRDefault="00681106" w:rsidP="008153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0" w:after="240" w:line="540" w:lineRule="atLeast"/>
        <w:outlineLvl w:val="1"/>
        <w:rPr>
          <w:rFonts w:ascii="Source Sans Pro" w:eastAsia="Times New Roman" w:hAnsi="Source Sans Pro" w:cs="Times New Roman"/>
          <w:b/>
          <w:bCs/>
          <w:color w:val="3A3648"/>
          <w:sz w:val="42"/>
          <w:szCs w:val="42"/>
          <w:lang w:eastAsia="es-UY"/>
        </w:rPr>
      </w:pPr>
      <w:r w:rsidRPr="00681106">
        <w:rPr>
          <w:rFonts w:ascii="Source Sans Pro" w:eastAsia="Times New Roman" w:hAnsi="Source Sans Pro" w:cs="Times New Roman"/>
          <w:b/>
          <w:bCs/>
          <w:color w:val="3A3648"/>
          <w:sz w:val="42"/>
          <w:szCs w:val="42"/>
          <w:lang w:eastAsia="es-UY"/>
        </w:rPr>
        <w:drawing>
          <wp:inline distT="0" distB="0" distL="0" distR="0" wp14:anchorId="6F48F9CD" wp14:editId="272F0000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43C7" w14:textId="35FE1C89" w:rsidR="008153DA" w:rsidRPr="008153DA" w:rsidRDefault="008153DA" w:rsidP="008153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0" w:after="240" w:line="540" w:lineRule="atLeast"/>
        <w:outlineLvl w:val="1"/>
        <w:rPr>
          <w:rFonts w:ascii="Source Sans Pro" w:eastAsia="Times New Roman" w:hAnsi="Source Sans Pro" w:cs="Times New Roman"/>
          <w:b/>
          <w:bCs/>
          <w:color w:val="3A3648"/>
          <w:sz w:val="42"/>
          <w:szCs w:val="42"/>
          <w:lang w:eastAsia="es-UY"/>
        </w:rPr>
      </w:pPr>
      <w:r w:rsidRPr="008153DA">
        <w:rPr>
          <w:rFonts w:ascii="Source Sans Pro" w:eastAsia="Times New Roman" w:hAnsi="Source Sans Pro" w:cs="Times New Roman"/>
          <w:b/>
          <w:bCs/>
          <w:color w:val="3A3648"/>
          <w:sz w:val="42"/>
          <w:szCs w:val="42"/>
          <w:lang w:eastAsia="es-UY"/>
        </w:rPr>
        <w:t>Corteza motora del cerebro: localización y funciones</w:t>
      </w:r>
    </w:p>
    <w:p w14:paraId="414E1005" w14:textId="77777777" w:rsidR="008153DA" w:rsidRPr="008153DA" w:rsidRDefault="008153DA" w:rsidP="008153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450" w:lineRule="atLeast"/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</w:pPr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>Se denomina área motora o motriz del cerebro a aquella parte de la corteza cerebral cuyas principales funciones son las de permitir la generación, mantenimiento y terminación de movimientos voluntarios y conscientes por parte del sujeto.</w:t>
      </w:r>
    </w:p>
    <w:p w14:paraId="6AC96ADA" w14:textId="77777777" w:rsidR="008153DA" w:rsidRPr="008153DA" w:rsidRDefault="008153DA" w:rsidP="008153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450" w:lineRule="atLeast"/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</w:pPr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>Esta región cerebral se encuentra localizada en la parte superior y rostral del encéfalo, en la parte posterior del </w:t>
      </w:r>
      <w:hyperlink r:id="rId6" w:history="1">
        <w:r w:rsidRPr="008153DA">
          <w:rPr>
            <w:rFonts w:ascii="Source Sans Pro" w:eastAsia="Times New Roman" w:hAnsi="Source Sans Pro" w:cs="Times New Roman"/>
            <w:b/>
            <w:bCs/>
            <w:color w:val="4929BC"/>
            <w:sz w:val="27"/>
            <w:szCs w:val="27"/>
            <w:u w:val="single"/>
            <w:bdr w:val="single" w:sz="2" w:space="0" w:color="auto" w:frame="1"/>
            <w:shd w:val="clear" w:color="auto" w:fill="FFFFFF"/>
            <w:lang w:eastAsia="es-UY"/>
          </w:rPr>
          <w:t>lóbulo frontal</w:t>
        </w:r>
      </w:hyperlink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>, situada justo antes de la cisura central o de Rolando y del área somatosensorial. Es en esta área donde se representa el </w:t>
      </w:r>
      <w:hyperlink r:id="rId7" w:history="1">
        <w:r w:rsidRPr="008153DA">
          <w:rPr>
            <w:rFonts w:ascii="Source Sans Pro" w:eastAsia="Times New Roman" w:hAnsi="Source Sans Pro" w:cs="Times New Roman"/>
            <w:b/>
            <w:bCs/>
            <w:color w:val="4929BC"/>
            <w:sz w:val="27"/>
            <w:szCs w:val="27"/>
            <w:u w:val="single"/>
            <w:bdr w:val="single" w:sz="2" w:space="0" w:color="auto" w:frame="1"/>
            <w:shd w:val="clear" w:color="auto" w:fill="FFFFFF"/>
            <w:lang w:eastAsia="es-UY"/>
          </w:rPr>
          <w:t xml:space="preserve">homúnculo motor de </w:t>
        </w:r>
        <w:proofErr w:type="spellStart"/>
        <w:r w:rsidRPr="008153DA">
          <w:rPr>
            <w:rFonts w:ascii="Source Sans Pro" w:eastAsia="Times New Roman" w:hAnsi="Source Sans Pro" w:cs="Times New Roman"/>
            <w:b/>
            <w:bCs/>
            <w:color w:val="4929BC"/>
            <w:sz w:val="27"/>
            <w:szCs w:val="27"/>
            <w:u w:val="single"/>
            <w:bdr w:val="single" w:sz="2" w:space="0" w:color="auto" w:frame="1"/>
            <w:shd w:val="clear" w:color="auto" w:fill="FFFFFF"/>
            <w:lang w:eastAsia="es-UY"/>
          </w:rPr>
          <w:t>Penfield</w:t>
        </w:r>
        <w:proofErr w:type="spellEnd"/>
      </w:hyperlink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>, representación que indica </w:t>
      </w:r>
      <w:r w:rsidRPr="008153DA">
        <w:rPr>
          <w:rFonts w:ascii="Source Sans Pro" w:eastAsia="Times New Roman" w:hAnsi="Source Sans Pro" w:cs="Times New Roman"/>
          <w:b/>
          <w:bCs/>
          <w:color w:val="524D66"/>
          <w:sz w:val="27"/>
          <w:szCs w:val="27"/>
          <w:bdr w:val="single" w:sz="2" w:space="0" w:color="E5E7EB" w:frame="1"/>
          <w:lang w:eastAsia="es-UY"/>
        </w:rPr>
        <w:t>las partes de la corteza centradas en el movimiento de determinados músculos</w:t>
      </w:r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> entre los que destacan algunos especialmente inervados como las manos, la lengua o la cara.</w:t>
      </w:r>
    </w:p>
    <w:p w14:paraId="4C1521A2" w14:textId="77777777" w:rsidR="008153DA" w:rsidRPr="008153DA" w:rsidRDefault="008153DA" w:rsidP="008153DA">
      <w:pPr>
        <w:numPr>
          <w:ilvl w:val="0"/>
          <w:numId w:val="1"/>
        </w:numPr>
        <w:pBdr>
          <w:top w:val="single" w:sz="2" w:space="0" w:color="E5E7EB"/>
          <w:left w:val="single" w:sz="2" w:space="2" w:color="E5E7EB"/>
          <w:bottom w:val="single" w:sz="2" w:space="0" w:color="E5E7EB"/>
          <w:right w:val="single" w:sz="2" w:space="0" w:color="E5E7EB"/>
        </w:pBdr>
        <w:spacing w:after="0" w:line="450" w:lineRule="atLeast"/>
        <w:ind w:left="960"/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</w:pPr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>Quizás te interese: "</w:t>
      </w:r>
      <w:hyperlink r:id="rId8" w:history="1">
        <w:r w:rsidRPr="008153DA">
          <w:rPr>
            <w:rFonts w:ascii="Source Sans Pro" w:eastAsia="Times New Roman" w:hAnsi="Source Sans Pro" w:cs="Times New Roman"/>
            <w:b/>
            <w:bCs/>
            <w:color w:val="4929BC"/>
            <w:sz w:val="27"/>
            <w:szCs w:val="27"/>
            <w:u w:val="single"/>
            <w:bdr w:val="single" w:sz="2" w:space="0" w:color="auto" w:frame="1"/>
            <w:shd w:val="clear" w:color="auto" w:fill="FFFFFF"/>
            <w:lang w:eastAsia="es-UY"/>
          </w:rPr>
          <w:t>Corteza asociativa (cerebro): tipos, partes y funciones</w:t>
        </w:r>
      </w:hyperlink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>"</w:t>
      </w:r>
    </w:p>
    <w:p w14:paraId="61B8282E" w14:textId="77777777" w:rsidR="008153DA" w:rsidRPr="008153DA" w:rsidRDefault="008153DA" w:rsidP="008153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0" w:after="240" w:line="540" w:lineRule="atLeast"/>
        <w:outlineLvl w:val="1"/>
        <w:rPr>
          <w:rFonts w:ascii="Source Sans Pro" w:eastAsia="Times New Roman" w:hAnsi="Source Sans Pro" w:cs="Times New Roman"/>
          <w:b/>
          <w:bCs/>
          <w:color w:val="3A3648"/>
          <w:sz w:val="42"/>
          <w:szCs w:val="42"/>
          <w:lang w:eastAsia="es-UY"/>
        </w:rPr>
      </w:pPr>
      <w:r w:rsidRPr="008153DA">
        <w:rPr>
          <w:rFonts w:ascii="Source Sans Pro" w:eastAsia="Times New Roman" w:hAnsi="Source Sans Pro" w:cs="Times New Roman"/>
          <w:b/>
          <w:bCs/>
          <w:color w:val="3A3648"/>
          <w:sz w:val="42"/>
          <w:szCs w:val="42"/>
          <w:lang w:eastAsia="es-UY"/>
        </w:rPr>
        <w:lastRenderedPageBreak/>
        <w:t>Principales regiones del área motora del cerebro</w:t>
      </w:r>
    </w:p>
    <w:p w14:paraId="70EA4EDD" w14:textId="77777777" w:rsidR="008153DA" w:rsidRPr="008153DA" w:rsidRDefault="008153DA" w:rsidP="008153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450" w:lineRule="atLeast"/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</w:pPr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>Dentro de la corteza motora podemos encontrar diferentes regiones, todas ellas de gran importancia a la hora de poder gestionar el movimiento. Entre ellas las principales son las siguientes.</w:t>
      </w:r>
    </w:p>
    <w:p w14:paraId="67E0728A" w14:textId="77777777" w:rsidR="008153DA" w:rsidRPr="008153DA" w:rsidRDefault="008153DA" w:rsidP="008153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420" w:lineRule="atLeast"/>
        <w:outlineLvl w:val="2"/>
        <w:rPr>
          <w:rFonts w:ascii="Source Sans Pro" w:eastAsia="Times New Roman" w:hAnsi="Source Sans Pro" w:cs="Times New Roman"/>
          <w:b/>
          <w:bCs/>
          <w:color w:val="524D66"/>
          <w:sz w:val="36"/>
          <w:szCs w:val="36"/>
          <w:lang w:eastAsia="es-UY"/>
        </w:rPr>
      </w:pPr>
      <w:r w:rsidRPr="008153DA">
        <w:rPr>
          <w:rFonts w:ascii="Source Sans Pro" w:eastAsia="Times New Roman" w:hAnsi="Source Sans Pro" w:cs="Times New Roman"/>
          <w:b/>
          <w:bCs/>
          <w:color w:val="524D66"/>
          <w:sz w:val="36"/>
          <w:szCs w:val="36"/>
          <w:lang w:eastAsia="es-UY"/>
        </w:rPr>
        <w:t>1. Corteza motora primaria</w:t>
      </w:r>
    </w:p>
    <w:p w14:paraId="2896F485" w14:textId="77777777" w:rsidR="008153DA" w:rsidRPr="008153DA" w:rsidRDefault="008153DA" w:rsidP="008153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450" w:lineRule="atLeast"/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</w:pPr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>La principal estructura encargada del movimiento, se trata del área que va a generar y enviar la orden de movimiento a todos los músculos voluntarios del organismo. </w:t>
      </w:r>
      <w:r w:rsidRPr="008153DA">
        <w:rPr>
          <w:rFonts w:ascii="Source Sans Pro" w:eastAsia="Times New Roman" w:hAnsi="Source Sans Pro" w:cs="Times New Roman"/>
          <w:b/>
          <w:bCs/>
          <w:color w:val="524D66"/>
          <w:sz w:val="27"/>
          <w:szCs w:val="27"/>
          <w:bdr w:val="single" w:sz="2" w:space="0" w:color="E5E7EB" w:frame="1"/>
          <w:lang w:eastAsia="es-UY"/>
        </w:rPr>
        <w:t>Es la parte del cerebro que envía la orden a los músculos para que se contraigan o tensen</w:t>
      </w:r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>, generando el movimiento.</w:t>
      </w:r>
    </w:p>
    <w:p w14:paraId="422F6ABB" w14:textId="77777777" w:rsidR="008153DA" w:rsidRPr="008153DA" w:rsidRDefault="008153DA" w:rsidP="008153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450" w:lineRule="atLeast"/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</w:pPr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>La corteza motora primaria no trabaja sola, sino que precisa de la información proveniente de las siguientes zonas para poder planificar y elaborar los movimientos. En la corteza motora primaria se encuentran, entre otras, las células de Beltz. Estas células de gran longitud, que irán a través de la médula espinal para hacer sinapsis con otras motoneuronas.</w:t>
      </w:r>
    </w:p>
    <w:p w14:paraId="301E6EA9" w14:textId="77777777" w:rsidR="008153DA" w:rsidRPr="008153DA" w:rsidRDefault="008153DA" w:rsidP="008153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420" w:lineRule="atLeast"/>
        <w:outlineLvl w:val="2"/>
        <w:rPr>
          <w:rFonts w:ascii="Source Sans Pro" w:eastAsia="Times New Roman" w:hAnsi="Source Sans Pro" w:cs="Times New Roman"/>
          <w:b/>
          <w:bCs/>
          <w:color w:val="524D66"/>
          <w:sz w:val="36"/>
          <w:szCs w:val="36"/>
          <w:lang w:eastAsia="es-UY"/>
        </w:rPr>
      </w:pPr>
      <w:r w:rsidRPr="008153DA">
        <w:rPr>
          <w:rFonts w:ascii="Source Sans Pro" w:eastAsia="Times New Roman" w:hAnsi="Source Sans Pro" w:cs="Times New Roman"/>
          <w:b/>
          <w:bCs/>
          <w:color w:val="524D66"/>
          <w:sz w:val="36"/>
          <w:szCs w:val="36"/>
          <w:lang w:eastAsia="es-UY"/>
        </w:rPr>
        <w:t>2. Corteza motora secundaria</w:t>
      </w:r>
    </w:p>
    <w:p w14:paraId="1A88245C" w14:textId="77777777" w:rsidR="008153DA" w:rsidRPr="008153DA" w:rsidRDefault="008153DA" w:rsidP="008153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450" w:lineRule="atLeast"/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</w:pPr>
      <w:proofErr w:type="gramStart"/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>Este área</w:t>
      </w:r>
      <w:proofErr w:type="gramEnd"/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 xml:space="preserve"> tiene un importante papel a la hora de programar y planificar los movimientos y las secuencias a seguir de cara a poder realizar de manera precisa y coordinada los movimientos. A pesar de ello y que </w:t>
      </w:r>
      <w:proofErr w:type="gramStart"/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>la estimulación eléctrica de estas áreas pueden</w:t>
      </w:r>
      <w:proofErr w:type="gramEnd"/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 xml:space="preserve"> llegar a producir movimiento, no es en sí la que se dedica a realizarlos, sino que se centra en </w:t>
      </w:r>
      <w:r w:rsidRPr="008153DA">
        <w:rPr>
          <w:rFonts w:ascii="Source Sans Pro" w:eastAsia="Times New Roman" w:hAnsi="Source Sans Pro" w:cs="Times New Roman"/>
          <w:b/>
          <w:bCs/>
          <w:color w:val="524D66"/>
          <w:sz w:val="27"/>
          <w:szCs w:val="27"/>
          <w:bdr w:val="single" w:sz="2" w:space="0" w:color="E5E7EB" w:frame="1"/>
          <w:lang w:eastAsia="es-UY"/>
        </w:rPr>
        <w:t>organizar el movimiento antes de que la motora primaria pueda llevarlo a cabo.</w:t>
      </w:r>
    </w:p>
    <w:p w14:paraId="73E7A487" w14:textId="77777777" w:rsidR="008153DA" w:rsidRPr="008153DA" w:rsidRDefault="008153DA" w:rsidP="008153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450" w:lineRule="atLeast"/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</w:pPr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 xml:space="preserve">De cara a realizar un movimiento va a ser necesario en primer lugar la actuación de estas áreas, para posteriormente poder pasar la información al área motora primaria y una vez allí enviarse la orden de movimiento. Se </w:t>
      </w:r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lastRenderedPageBreak/>
        <w:t>encuentra muy conectadas a las áreas de asociación. Dentro del área motora secundaria podemos encontrar dos regiones de gran relevancia.</w:t>
      </w:r>
    </w:p>
    <w:p w14:paraId="189FB759" w14:textId="77777777" w:rsidR="008153DA" w:rsidRPr="008153DA" w:rsidRDefault="008153DA" w:rsidP="008153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480" w:after="240" w:line="450" w:lineRule="atLeast"/>
        <w:outlineLvl w:val="3"/>
        <w:rPr>
          <w:rFonts w:ascii="Source Sans Pro" w:eastAsia="Times New Roman" w:hAnsi="Source Sans Pro" w:cs="Times New Roman"/>
          <w:b/>
          <w:bCs/>
          <w:color w:val="524D66"/>
          <w:sz w:val="24"/>
          <w:szCs w:val="24"/>
          <w:lang w:eastAsia="es-UY"/>
        </w:rPr>
      </w:pPr>
      <w:r w:rsidRPr="008153DA">
        <w:rPr>
          <w:rFonts w:ascii="Source Sans Pro" w:eastAsia="Times New Roman" w:hAnsi="Source Sans Pro" w:cs="Times New Roman"/>
          <w:b/>
          <w:bCs/>
          <w:color w:val="524D66"/>
          <w:sz w:val="24"/>
          <w:szCs w:val="24"/>
          <w:lang w:eastAsia="es-UY"/>
        </w:rPr>
        <w:t>2.1. Área premotora</w:t>
      </w:r>
    </w:p>
    <w:p w14:paraId="42497ED0" w14:textId="77777777" w:rsidR="008153DA" w:rsidRPr="008153DA" w:rsidRDefault="008153DA" w:rsidP="008153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450" w:lineRule="atLeast"/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</w:pPr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>Situada en la corteza motora, </w:t>
      </w:r>
      <w:r w:rsidRPr="008153DA">
        <w:rPr>
          <w:rFonts w:ascii="Source Sans Pro" w:eastAsia="Times New Roman" w:hAnsi="Source Sans Pro" w:cs="Times New Roman"/>
          <w:b/>
          <w:bCs/>
          <w:color w:val="524D66"/>
          <w:sz w:val="27"/>
          <w:szCs w:val="27"/>
          <w:bdr w:val="single" w:sz="2" w:space="0" w:color="E5E7EB" w:frame="1"/>
          <w:lang w:eastAsia="es-UY"/>
        </w:rPr>
        <w:t>por delante de la corteza motora primaria y cerca de la cisura de Silvio</w:t>
      </w:r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>, se encuentra el área o corteza premotora. Esta zona se encuentra especialmente vinculada a la programación y guía del movimiento, almacenando programas motores aprendidos mediante la experiencia. Ello también incluye el movimiento necesario para el habla. Suele actuar en aquellas respuestas motoras guiadas por un estímulo exógeno.</w:t>
      </w:r>
    </w:p>
    <w:p w14:paraId="01CD8BC6" w14:textId="77777777" w:rsidR="008153DA" w:rsidRPr="008153DA" w:rsidRDefault="008153DA" w:rsidP="008153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420" w:lineRule="atLeast"/>
        <w:outlineLvl w:val="2"/>
        <w:rPr>
          <w:rFonts w:ascii="Source Sans Pro" w:eastAsia="Times New Roman" w:hAnsi="Source Sans Pro" w:cs="Times New Roman"/>
          <w:b/>
          <w:bCs/>
          <w:color w:val="524D66"/>
          <w:sz w:val="36"/>
          <w:szCs w:val="36"/>
          <w:lang w:eastAsia="es-UY"/>
        </w:rPr>
      </w:pPr>
      <w:r w:rsidRPr="008153DA">
        <w:rPr>
          <w:rFonts w:ascii="Source Sans Pro" w:eastAsia="Times New Roman" w:hAnsi="Source Sans Pro" w:cs="Times New Roman"/>
          <w:b/>
          <w:bCs/>
          <w:color w:val="524D66"/>
          <w:sz w:val="36"/>
          <w:szCs w:val="36"/>
          <w:lang w:eastAsia="es-UY"/>
        </w:rPr>
        <w:t>3. Área de Broca</w:t>
      </w:r>
    </w:p>
    <w:p w14:paraId="4577D20B" w14:textId="77777777" w:rsidR="008153DA" w:rsidRPr="008153DA" w:rsidRDefault="008153DA" w:rsidP="008153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450" w:lineRule="atLeast"/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</w:pPr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>En diferentes clasificaciones se incluye al área de Broca dentro de las áreas motoras del cerebro, ya que </w:t>
      </w:r>
      <w:r w:rsidRPr="008153DA">
        <w:rPr>
          <w:rFonts w:ascii="Source Sans Pro" w:eastAsia="Times New Roman" w:hAnsi="Source Sans Pro" w:cs="Times New Roman"/>
          <w:b/>
          <w:bCs/>
          <w:color w:val="524D66"/>
          <w:sz w:val="27"/>
          <w:szCs w:val="27"/>
          <w:bdr w:val="single" w:sz="2" w:space="0" w:color="E5E7EB" w:frame="1"/>
          <w:lang w:eastAsia="es-UY"/>
        </w:rPr>
        <w:t>permite la producción del lenguaje</w:t>
      </w:r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> y el movimiento muscular necesario para ello. Se sitúa en el borde del área motora suplementaria.</w:t>
      </w:r>
    </w:p>
    <w:p w14:paraId="20C1C2CC" w14:textId="77777777" w:rsidR="008153DA" w:rsidRPr="008153DA" w:rsidRDefault="008153DA" w:rsidP="008153DA">
      <w:pPr>
        <w:numPr>
          <w:ilvl w:val="0"/>
          <w:numId w:val="2"/>
        </w:numPr>
        <w:pBdr>
          <w:top w:val="single" w:sz="2" w:space="0" w:color="E5E7EB"/>
          <w:left w:val="single" w:sz="2" w:space="2" w:color="E5E7EB"/>
          <w:bottom w:val="single" w:sz="2" w:space="0" w:color="E5E7EB"/>
          <w:right w:val="single" w:sz="2" w:space="0" w:color="E5E7EB"/>
        </w:pBdr>
        <w:spacing w:after="0" w:line="450" w:lineRule="atLeast"/>
        <w:ind w:left="960"/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</w:pPr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>Artículo relacionado: "</w:t>
      </w:r>
      <w:hyperlink r:id="rId9" w:history="1">
        <w:r w:rsidRPr="008153DA">
          <w:rPr>
            <w:rFonts w:ascii="Source Sans Pro" w:eastAsia="Times New Roman" w:hAnsi="Source Sans Pro" w:cs="Times New Roman"/>
            <w:b/>
            <w:bCs/>
            <w:color w:val="4929BC"/>
            <w:sz w:val="27"/>
            <w:szCs w:val="27"/>
            <w:bdr w:val="single" w:sz="2" w:space="0" w:color="auto" w:frame="1"/>
            <w:shd w:val="clear" w:color="auto" w:fill="FFFFFF"/>
            <w:lang w:eastAsia="es-UY"/>
          </w:rPr>
          <w:t>Área de Broca (parte del cerebro): funciones y su relación con el lenguaje</w:t>
        </w:r>
      </w:hyperlink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>"</w:t>
      </w:r>
    </w:p>
    <w:p w14:paraId="445ACB93" w14:textId="77777777" w:rsidR="008153DA" w:rsidRPr="008153DA" w:rsidRDefault="008153DA" w:rsidP="008153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420" w:lineRule="atLeast"/>
        <w:outlineLvl w:val="2"/>
        <w:rPr>
          <w:rFonts w:ascii="Source Sans Pro" w:eastAsia="Times New Roman" w:hAnsi="Source Sans Pro" w:cs="Times New Roman"/>
          <w:b/>
          <w:bCs/>
          <w:color w:val="524D66"/>
          <w:sz w:val="36"/>
          <w:szCs w:val="36"/>
          <w:lang w:eastAsia="es-UY"/>
        </w:rPr>
      </w:pPr>
      <w:r w:rsidRPr="008153DA">
        <w:rPr>
          <w:rFonts w:ascii="Source Sans Pro" w:eastAsia="Times New Roman" w:hAnsi="Source Sans Pro" w:cs="Times New Roman"/>
          <w:b/>
          <w:bCs/>
          <w:color w:val="524D66"/>
          <w:sz w:val="36"/>
          <w:szCs w:val="36"/>
          <w:lang w:eastAsia="es-UY"/>
        </w:rPr>
        <w:t>4. Áreas de asociación de la corteza parietal posterior</w:t>
      </w:r>
    </w:p>
    <w:p w14:paraId="6A409A78" w14:textId="77777777" w:rsidR="008153DA" w:rsidRPr="008153DA" w:rsidRDefault="008153DA" w:rsidP="008153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450" w:lineRule="atLeast"/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</w:pPr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 xml:space="preserve">En algunas clasificaciones aparece </w:t>
      </w:r>
      <w:proofErr w:type="gramStart"/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>este área</w:t>
      </w:r>
      <w:proofErr w:type="gramEnd"/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 xml:space="preserve"> como una de las áreas motoras, debido a que </w:t>
      </w:r>
      <w:r w:rsidRPr="008153DA">
        <w:rPr>
          <w:rFonts w:ascii="Source Sans Pro" w:eastAsia="Times New Roman" w:hAnsi="Source Sans Pro" w:cs="Times New Roman"/>
          <w:b/>
          <w:bCs/>
          <w:color w:val="524D66"/>
          <w:sz w:val="27"/>
          <w:szCs w:val="27"/>
          <w:bdr w:val="single" w:sz="2" w:space="0" w:color="E5E7EB" w:frame="1"/>
          <w:lang w:eastAsia="es-UY"/>
        </w:rPr>
        <w:t>transforma la información visual y de otros sentidos en instrucciones motoras</w:t>
      </w:r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>.</w:t>
      </w:r>
    </w:p>
    <w:p w14:paraId="4B72E627" w14:textId="77777777" w:rsidR="008153DA" w:rsidRPr="008153DA" w:rsidRDefault="008153DA" w:rsidP="008153DA">
      <w:pPr>
        <w:numPr>
          <w:ilvl w:val="0"/>
          <w:numId w:val="3"/>
        </w:numPr>
        <w:pBdr>
          <w:top w:val="single" w:sz="2" w:space="0" w:color="E5E7EB"/>
          <w:left w:val="single" w:sz="2" w:space="2" w:color="E5E7EB"/>
          <w:bottom w:val="single" w:sz="2" w:space="0" w:color="E5E7EB"/>
          <w:right w:val="single" w:sz="2" w:space="0" w:color="E5E7EB"/>
        </w:pBdr>
        <w:spacing w:after="0" w:line="450" w:lineRule="atLeast"/>
        <w:ind w:left="960"/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</w:pPr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>Quizás te interese: "</w:t>
      </w:r>
      <w:hyperlink r:id="rId10" w:history="1">
        <w:r w:rsidRPr="008153DA">
          <w:rPr>
            <w:rFonts w:ascii="Source Sans Pro" w:eastAsia="Times New Roman" w:hAnsi="Source Sans Pro" w:cs="Times New Roman"/>
            <w:b/>
            <w:bCs/>
            <w:color w:val="4929BC"/>
            <w:sz w:val="27"/>
            <w:szCs w:val="27"/>
            <w:bdr w:val="single" w:sz="2" w:space="0" w:color="auto" w:frame="1"/>
            <w:shd w:val="clear" w:color="auto" w:fill="FFFFFF"/>
            <w:lang w:eastAsia="es-UY"/>
          </w:rPr>
          <w:t>Lóbulo parietal: características y funciones</w:t>
        </w:r>
      </w:hyperlink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>"</w:t>
      </w:r>
    </w:p>
    <w:p w14:paraId="11F449FA" w14:textId="77777777" w:rsidR="008153DA" w:rsidRPr="008153DA" w:rsidRDefault="008153DA" w:rsidP="008153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0" w:after="240" w:line="540" w:lineRule="atLeast"/>
        <w:outlineLvl w:val="1"/>
        <w:rPr>
          <w:rFonts w:ascii="Source Sans Pro" w:eastAsia="Times New Roman" w:hAnsi="Source Sans Pro" w:cs="Times New Roman"/>
          <w:b/>
          <w:bCs/>
          <w:color w:val="3A3648"/>
          <w:sz w:val="42"/>
          <w:szCs w:val="42"/>
          <w:lang w:eastAsia="es-UY"/>
        </w:rPr>
      </w:pPr>
      <w:r w:rsidRPr="008153DA">
        <w:rPr>
          <w:rFonts w:ascii="Source Sans Pro" w:eastAsia="Times New Roman" w:hAnsi="Source Sans Pro" w:cs="Times New Roman"/>
          <w:b/>
          <w:bCs/>
          <w:color w:val="3A3648"/>
          <w:sz w:val="42"/>
          <w:szCs w:val="42"/>
          <w:lang w:eastAsia="es-UY"/>
        </w:rPr>
        <w:t>Problemas y trastornos vinculados</w:t>
      </w:r>
    </w:p>
    <w:p w14:paraId="63C6AD32" w14:textId="77777777" w:rsidR="008153DA" w:rsidRPr="008153DA" w:rsidRDefault="008153DA" w:rsidP="008153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450" w:lineRule="atLeast"/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</w:pPr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lastRenderedPageBreak/>
        <w:t xml:space="preserve">Como hemos indicado anteriormente, la corteza motora es una región cerebral de gran importancia a la hora de poder llevar a cabo prácticamente cualquier acción. Es por ello que </w:t>
      </w:r>
      <w:proofErr w:type="gramStart"/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>una lesión en estas áreas cerebrales pueden</w:t>
      </w:r>
      <w:proofErr w:type="gramEnd"/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 xml:space="preserve"> tener severas repercusiones en la vida de los pacientes.</w:t>
      </w:r>
    </w:p>
    <w:p w14:paraId="57EF4BE7" w14:textId="77777777" w:rsidR="008153DA" w:rsidRPr="008153DA" w:rsidRDefault="008153DA" w:rsidP="008153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450" w:lineRule="atLeast"/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</w:pPr>
      <w:r w:rsidRPr="008153DA">
        <w:rPr>
          <w:rFonts w:ascii="Source Sans Pro" w:eastAsia="Times New Roman" w:hAnsi="Source Sans Pro" w:cs="Times New Roman"/>
          <w:b/>
          <w:bCs/>
          <w:color w:val="524D66"/>
          <w:sz w:val="27"/>
          <w:szCs w:val="27"/>
          <w:bdr w:val="single" w:sz="2" w:space="0" w:color="E5E7EB" w:frame="1"/>
          <w:lang w:eastAsia="es-UY"/>
        </w:rPr>
        <w:t>Uno de los problemas que puede generar la lesión o destrucción de la corteza o área motora es la parálisis</w:t>
      </w:r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 xml:space="preserve"> y pérdida de movilidad, sea en una parte concreta del organismo, en un hemicuerpo o en todo el cuerpo. Es posible que aparezcan hemiplejias o tetraplejias. Si la lesión se encuentra solo en un hemisferio la parálisis se dará </w:t>
      </w:r>
      <w:proofErr w:type="spellStart"/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>contralateralmente</w:t>
      </w:r>
      <w:proofErr w:type="spellEnd"/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>: es decir si se lesiona la corteza motora derecha será la mano izquierda la que quedará paralizada.</w:t>
      </w:r>
    </w:p>
    <w:p w14:paraId="123FB69C" w14:textId="77777777" w:rsidR="008153DA" w:rsidRPr="008153DA" w:rsidRDefault="008153DA" w:rsidP="008153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450" w:lineRule="atLeast"/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</w:pPr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>En lo que respecta a las áreas motoras secundarias, los efectos de una lesión en ellos suelen alterar la capacidad de realizar los movimientos de forma coordinada y secuencial. Estamos hablando del surgimiento de posibles </w:t>
      </w:r>
      <w:hyperlink r:id="rId11" w:history="1">
        <w:r w:rsidRPr="008153DA">
          <w:rPr>
            <w:rFonts w:ascii="Source Sans Pro" w:eastAsia="Times New Roman" w:hAnsi="Source Sans Pro" w:cs="Times New Roman"/>
            <w:b/>
            <w:bCs/>
            <w:color w:val="4929BC"/>
            <w:sz w:val="27"/>
            <w:szCs w:val="27"/>
            <w:bdr w:val="single" w:sz="2" w:space="0" w:color="auto" w:frame="1"/>
            <w:shd w:val="clear" w:color="auto" w:fill="FFFFFF"/>
            <w:lang w:eastAsia="es-UY"/>
          </w:rPr>
          <w:t>apraxias</w:t>
        </w:r>
      </w:hyperlink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>, o </w:t>
      </w:r>
      <w:hyperlink r:id="rId12" w:history="1">
        <w:r w:rsidRPr="008153DA">
          <w:rPr>
            <w:rFonts w:ascii="Source Sans Pro" w:eastAsia="Times New Roman" w:hAnsi="Source Sans Pro" w:cs="Times New Roman"/>
            <w:b/>
            <w:bCs/>
            <w:color w:val="4929BC"/>
            <w:sz w:val="27"/>
            <w:szCs w:val="27"/>
            <w:bdr w:val="single" w:sz="2" w:space="0" w:color="auto" w:frame="1"/>
            <w:shd w:val="clear" w:color="auto" w:fill="FFFFFF"/>
            <w:lang w:eastAsia="es-UY"/>
          </w:rPr>
          <w:t>afasias</w:t>
        </w:r>
      </w:hyperlink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> o </w:t>
      </w:r>
      <w:hyperlink r:id="rId13" w:history="1">
        <w:r w:rsidRPr="008153DA">
          <w:rPr>
            <w:rFonts w:ascii="Source Sans Pro" w:eastAsia="Times New Roman" w:hAnsi="Source Sans Pro" w:cs="Times New Roman"/>
            <w:b/>
            <w:bCs/>
            <w:color w:val="4929BC"/>
            <w:sz w:val="27"/>
            <w:szCs w:val="27"/>
            <w:bdr w:val="single" w:sz="2" w:space="0" w:color="auto" w:frame="1"/>
            <w:shd w:val="clear" w:color="auto" w:fill="FFFFFF"/>
            <w:lang w:eastAsia="es-UY"/>
          </w:rPr>
          <w:t>disartrias</w:t>
        </w:r>
      </w:hyperlink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> cuando nos referimos a problemas en la producción de los movimientos necesarios para comunicarse. </w:t>
      </w:r>
      <w:r w:rsidRPr="008153DA">
        <w:rPr>
          <w:rFonts w:ascii="Source Sans Pro" w:eastAsia="Times New Roman" w:hAnsi="Source Sans Pro" w:cs="Times New Roman"/>
          <w:b/>
          <w:bCs/>
          <w:color w:val="524D66"/>
          <w:sz w:val="27"/>
          <w:szCs w:val="27"/>
          <w:bdr w:val="single" w:sz="2" w:space="0" w:color="E5E7EB" w:frame="1"/>
          <w:lang w:eastAsia="es-UY"/>
        </w:rPr>
        <w:t>También se puede producir agrafia</w:t>
      </w:r>
      <w:r w:rsidRPr="008153DA">
        <w:rPr>
          <w:rFonts w:ascii="Source Sans Pro" w:eastAsia="Times New Roman" w:hAnsi="Source Sans Pro" w:cs="Times New Roman"/>
          <w:color w:val="524D66"/>
          <w:sz w:val="27"/>
          <w:szCs w:val="27"/>
          <w:lang w:eastAsia="es-UY"/>
        </w:rPr>
        <w:t>, al no poder realizarse correctamente los movimientos necesarios para escribir, problemas en la alimentación o incluso visuales al no regirse correctamente el movimiento de los órganos y músculos faciales.</w:t>
      </w:r>
    </w:p>
    <w:p w14:paraId="73FD2732" w14:textId="40170B47" w:rsidR="001C41ED" w:rsidRDefault="001C41ED"/>
    <w:p w14:paraId="4F186DA6" w14:textId="77335563" w:rsidR="008153DA" w:rsidRDefault="008153DA"/>
    <w:p w14:paraId="075FC03D" w14:textId="7F5E8EA4" w:rsidR="008153DA" w:rsidRDefault="008153DA"/>
    <w:p w14:paraId="69932967" w14:textId="4DA85020" w:rsidR="008153DA" w:rsidRDefault="008153DA"/>
    <w:p w14:paraId="4D16B131" w14:textId="7A988F45" w:rsidR="008153DA" w:rsidRDefault="008153DA"/>
    <w:p w14:paraId="49BD4E8A" w14:textId="77252BE6" w:rsidR="008153DA" w:rsidRDefault="008153DA">
      <w:proofErr w:type="gramStart"/>
      <w:r>
        <w:t>Link :</w:t>
      </w:r>
      <w:proofErr w:type="gramEnd"/>
      <w:r>
        <w:t xml:space="preserve"> </w:t>
      </w:r>
      <w:r w:rsidRPr="008153DA">
        <w:t>https://psicologiaymente.com/neurociencias/corteza-motora-cerebro</w:t>
      </w:r>
    </w:p>
    <w:sectPr w:rsidR="00815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103B7"/>
    <w:multiLevelType w:val="multilevel"/>
    <w:tmpl w:val="710E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E07C81"/>
    <w:multiLevelType w:val="multilevel"/>
    <w:tmpl w:val="8A92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301E37"/>
    <w:multiLevelType w:val="multilevel"/>
    <w:tmpl w:val="BC12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2242953">
    <w:abstractNumId w:val="2"/>
  </w:num>
  <w:num w:numId="2" w16cid:durableId="1089351550">
    <w:abstractNumId w:val="0"/>
  </w:num>
  <w:num w:numId="3" w16cid:durableId="599603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3A"/>
    <w:rsid w:val="001C41ED"/>
    <w:rsid w:val="00681106"/>
    <w:rsid w:val="008153DA"/>
    <w:rsid w:val="00D4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65B3E"/>
  <w15:chartTrackingRefBased/>
  <w15:docId w15:val="{8D9412F2-BAA3-41E0-B811-AB974CDD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153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paragraph" w:styleId="Ttulo3">
    <w:name w:val="heading 3"/>
    <w:basedOn w:val="Normal"/>
    <w:link w:val="Ttulo3Car"/>
    <w:uiPriority w:val="9"/>
    <w:qFormat/>
    <w:rsid w:val="008153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paragraph" w:styleId="Ttulo4">
    <w:name w:val="heading 4"/>
    <w:basedOn w:val="Normal"/>
    <w:link w:val="Ttulo4Car"/>
    <w:uiPriority w:val="9"/>
    <w:qFormat/>
    <w:rsid w:val="008153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53DA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customStyle="1" w:styleId="Ttulo3Car">
    <w:name w:val="Título 3 Car"/>
    <w:basedOn w:val="Fuentedeprrafopredeter"/>
    <w:link w:val="Ttulo3"/>
    <w:uiPriority w:val="9"/>
    <w:rsid w:val="008153DA"/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character" w:customStyle="1" w:styleId="Ttulo4Car">
    <w:name w:val="Título 4 Car"/>
    <w:basedOn w:val="Fuentedeprrafopredeter"/>
    <w:link w:val="Ttulo4"/>
    <w:uiPriority w:val="9"/>
    <w:rsid w:val="008153DA"/>
    <w:rPr>
      <w:rFonts w:ascii="Times New Roman" w:eastAsia="Times New Roman" w:hAnsi="Times New Roman" w:cs="Times New Roman"/>
      <w:b/>
      <w:bCs/>
      <w:sz w:val="24"/>
      <w:szCs w:val="24"/>
      <w:lang w:eastAsia="es-UY"/>
    </w:rPr>
  </w:style>
  <w:style w:type="paragraph" w:styleId="NormalWeb">
    <w:name w:val="Normal (Web)"/>
    <w:basedOn w:val="Normal"/>
    <w:uiPriority w:val="99"/>
    <w:semiHidden/>
    <w:unhideWhenUsed/>
    <w:rsid w:val="00815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Hipervnculo">
    <w:name w:val="Hyperlink"/>
    <w:basedOn w:val="Fuentedeprrafopredeter"/>
    <w:uiPriority w:val="99"/>
    <w:semiHidden/>
    <w:unhideWhenUsed/>
    <w:rsid w:val="008153D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153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icologiaymente.com/neurociencias/corteza-asociativa" TargetMode="External"/><Relationship Id="rId13" Type="http://schemas.openxmlformats.org/officeDocument/2006/relationships/hyperlink" Target="https://psicologiaymente.com/clinica/disartr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sicologiaymente.com/neurociencias/homunculos-penfield" TargetMode="External"/><Relationship Id="rId12" Type="http://schemas.openxmlformats.org/officeDocument/2006/relationships/hyperlink" Target="https://psicologiaymente.com/clinica/afasias-trastornos-lenguaj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sicologiaymente.com/neurociencias/lobulo-frontal-cerebro" TargetMode="External"/><Relationship Id="rId11" Type="http://schemas.openxmlformats.org/officeDocument/2006/relationships/hyperlink" Target="https://psicologiaymente.com/clinica/apraxia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psicologiaymente.com/neurociencias/lobulo-pariet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sicologiaymente.com/neurociencias/area-de-bro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877</Words>
  <Characters>4825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lopez</dc:creator>
  <cp:keywords/>
  <dc:description/>
  <cp:lastModifiedBy>lucas lopez</cp:lastModifiedBy>
  <cp:revision>4</cp:revision>
  <dcterms:created xsi:type="dcterms:W3CDTF">2022-10-09T03:08:00Z</dcterms:created>
  <dcterms:modified xsi:type="dcterms:W3CDTF">2022-10-09T03:10:00Z</dcterms:modified>
</cp:coreProperties>
</file>