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DEPARTAMENTO DE INFORMÁTICA E ESTATÍSTICA - CTC - UFSC</w:t>
      </w:r>
    </w:p>
    <w:p>
      <w:pPr>
        <w:pStyle w:val="Normal"/>
        <w:spacing w:lineRule="auto" w:line="276" w:before="0" w:after="3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RATIFICAÇÃO DE PLANO DE TRABALHO DO SEMESTRE PARA DESENVOLVIMENTO DE TCC</w:t>
      </w:r>
    </w:p>
    <w:p>
      <w:pPr>
        <w:pStyle w:val="Normal"/>
        <w:spacing w:lineRule="auto" w:line="276" w:before="0" w:after="8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Disciplina: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( ) TCC1  (X) TCC2</w:t>
      </w:r>
    </w:p>
    <w:p>
      <w:pPr>
        <w:pStyle w:val="Normal"/>
        <w:spacing w:lineRule="auto" w:line="276" w:before="0" w:after="20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Curso: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(X) CCO  ( ) SIN</w:t>
      </w:r>
    </w:p>
    <w:p>
      <w:pPr>
        <w:pStyle w:val="Normal"/>
        <w:spacing w:lineRule="auto" w:line="276" w:before="0" w:after="20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Nome do(s) autor(es):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Lucas Bueno Cesario</w:t>
      </w:r>
    </w:p>
    <w:p>
      <w:pPr>
        <w:pStyle w:val="Normal"/>
        <w:spacing w:lineRule="auto" w:line="276" w:before="0" w:after="20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Título do TCC: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Polyglot Import CSV: Uma ferramenta para importação de documentos CSV para múltiplos bancos de dados</w:t>
      </w:r>
    </w:p>
    <w:p>
      <w:pPr>
        <w:pStyle w:val="Normal"/>
        <w:spacing w:lineRule="auto" w:line="276" w:before="0" w:after="12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Objetivos:</w:t>
      </w:r>
    </w:p>
    <w:p>
      <w:pPr>
        <w:pStyle w:val="ListParagraph"/>
        <w:numPr>
          <w:ilvl w:val="0"/>
          <w:numId w:val="3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Desenvolvimento da Ferramenta: Criar a ferramenta "Polyglot Import CSV" que seja capaz de importar documentos CSV de forma eficiente e precisa em diferentes bancos de dados.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Simplicidade na Configuração: Proporcionar uma interface que permita aos usuários configurar os parâmetros de importação de forma simples.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Flexibilidade de Banco de Dados: Garantir que a ferramenta possa ser aplicada a múltiplos sistemas de gerenciamento de banco de dados relacionais e não-relacionais, independentemente das diferenças de estrutura e formato.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Preservação da Integridade dos Dados: Assegurar que a importação de dados seja realizada de maneira precisa e sem perda de informações, mantendo a integridade dos dados importados.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Versatilidade em Cenários de Uso: Explorar casos práticos onde a ferramenta pode ser aplicada, como migrações, consolidações e integrações, demonstrando sua utilidade em diferentes contextos.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Validação e Testes Exaustivos: Realizar testes abrangentes para validar a funcionalidade da ferramenta, assegurando que ela atenda aos requisitos estabelecidos e funcione de maneira consistente.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Avaliação de Desempenho: Medir e analisar o custo da importação em diferentes volumes de dados e estratégias de execução, comparando os cinco sistemas de gerenciamento de banco de dados e identificando as fases dominantes do processo.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Times New Roman" w:cs="Times New Roman"/>
          <w:sz w:val="24"/>
          <w:szCs w:val="24"/>
        </w:rPr>
        <w:t>Contribuição ao Campo de Gerenciamento de Dados: Acrescentar uma solução prática e inovadora ao campo de gerenciamento de dados, fornecendo uma abordagem mais eficaz para lidar com a importação de dados em sistemas heterogêneos.</w:t>
      </w:r>
    </w:p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Normal"/>
        <w:spacing w:lineRule="auto" w:line="276" w:before="0" w:after="16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Cronograma (TCC 2 — 10/08 a 10/12):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00"/>
        <w:gridCol w:w="1100"/>
        <w:gridCol w:w="3700"/>
        <w:gridCol w:w="2726"/>
      </w:tblGrid>
      <w:tr>
        <w:trPr/>
        <w:tc>
          <w:tcPr>
            <w:tcW w:w="1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Foco</w:t>
            </w:r>
          </w:p>
        </w:tc>
      </w:tr>
      <w:tr>
        <w:trPr>
          <w:cantSplit w:val="true"/>
        </w:trPr>
        <w:tc>
          <w:tcPr>
            <w:tcW w:w="150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Agosto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Importação com um arquivo CSV por entidade, mantendo o CSV único combinado como modo alternativo de entrada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Otimização do caminho de leitura e implementação do modo de execução em fluxo, com uso de memória limitado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Instrumentação de métricas e construção do arcabouço de benchmark: geração de dados sintéticos e executor da matriz de experimentos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Setembro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Execução das campanhas de benchmark nos cinco SGBDs: volumes de mil a cem mil linhas, via ingênua × otimizada e materialização × fluxo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Consolidação e análise dos resultados: tempo por fase, pico de memória e vazão por SGBD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Ambos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Escrita do capítulo de Avaliação de Desempenho, com as tabelas e os gráficos dos resultados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Revisão do capítulo de Proposta de Solução e levantamento de requisitos da interface gráfica desktop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Ambos</w:t>
            </w:r>
          </w:p>
        </w:tc>
      </w:tr>
      <w:tr>
        <w:trPr>
          <w:cantSplit w:val="true"/>
        </w:trPr>
        <w:tc>
          <w:tcPr>
            <w:tcW w:w="150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Outubro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Interface gráfica: prototipação das telas e edição assistida e validação dos dois arquivos JSON de configuração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Interface gráfica: montagem do comando de importação, execução e acompanhamento do progresso e das métricas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Testes e empacotamento da interface gráfica; automação dos testes de integração contra os cinco SGBDs em docker compose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Ferramenta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Documentação da interface gráfica no relatório (telas, fluxo de uso e decisões de projeto), reescrita das Atividades Futuras e redação da Conclusão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Ambos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5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Elementos pré-textuais (resumo e abstract), redação do artigo sobre o TCC no formato SBC e montagem dos apêndices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Novembro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Revisão geral do relatório e do artigo com o orientador, revisão das referências bibliográficas e verificação das citações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Postagem da cópia do relatório (prazo: 10/11) e confirmação da condição de o trabalho poder ser apresentado (15/11)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Preparação e ensaio da apresentação, com início do período de apresentações em 16/11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Apresentação do trabalho perante a banca, dentro do período de 16/11 a 04/12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Dezembro</w:t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Incorporação das sugestões da banca ao relatório e ao artigo, encerrado o período de apresentações em 04/12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  <w:tr>
        <w:trPr>
          <w:cantSplit w:val="true"/>
        </w:trPr>
        <w:tc>
          <w:tcPr>
            <w:tcW w:w="150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Geração do PDF/A, postagem da versão final no Repositório Institucional e publicação do código-fonte em repositório público (prazo: 10/12)</w:t>
            </w:r>
          </w:p>
        </w:tc>
        <w:tc>
          <w:tcPr>
            <w:tcW w:w="2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0"/>
                <w:szCs w:val="20"/>
              </w:rPr>
              <w:t>Relatório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80"/>
        <w:jc w:val="start"/>
        <w:rPr/>
      </w:pPr>
      <w:r>
        <w:rPr>
          <w:rFonts w:eastAsia="Times New Roman" w:cs="Times New Roman"/>
          <w:b/>
          <w:bCs/>
          <w:sz w:val="20"/>
          <w:szCs w:val="20"/>
        </w:rPr>
        <w:t>Legenda:</w:t>
      </w:r>
    </w:p>
    <w:tbl>
      <w:tblPr>
        <w:tblW w:w="38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400"/>
        <w:gridCol w:w="3400"/>
      </w:tblGrid>
      <w:tr>
        <w:trPr/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2EFD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sz w:val="20"/>
                <w:szCs w:val="20"/>
              </w:rPr>
              <w:t>Desenvolvimento (Ferramenta)</w:t>
            </w:r>
          </w:p>
        </w:tc>
      </w:tr>
      <w:tr>
        <w:trPr/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4D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sz w:val="20"/>
                <w:szCs w:val="20"/>
              </w:rPr>
              <w:t>Escrita (Relatório e Artigo)</w:t>
            </w:r>
          </w:p>
        </w:tc>
      </w:tr>
      <w:tr>
        <w:trPr/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sz w:val="20"/>
                <w:szCs w:val="20"/>
              </w:rPr>
              <w:t>Ambos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30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Observação: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As atividades de agosto e setembro dão continuidade ao que foi acordado com o orientador para o recesso — a otimização do processamento com uso de memória limitado, a avaliação de desempenho da ferramenta e a redação dos capítulos correspondentes —, retomadas no início do semestre, em 10/08. Outubro é dedicado à interface gráfica desktop, prevista como atividade futura no TCC I, que monta o comando de importação de forma assistida e permite visualizar e editar os arquivos de configuração. O cronograma observa os prazos do semestre: 10/11 para a postagem da cópia do relatório, 15/11 para a confirmação da condição de o trabalho poder ser apresentado, de 16/11 a 04/12 para as apresentações e 10/12 para a postagem da versão final da monografia em PDF/A no Repositório Institucional da UFSC, tendo como apêndices o artigo sobre o TCC no formato SBC e o código-fonte, este último disponibilizado em repositório público com as orientações de acesso descritas no apêndice.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76" w:before="0" w:after="120"/>
        <w:jc w:val="start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 xml:space="preserve">Nome do Professor responsável: </w:t>
      </w: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Ronaldo dos Santos Mello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sz w:val="24"/>
        <w:szCs w:val="24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2</Pages>
  <Words>822</Words>
  <Characters>4561</Characters>
  <CharactersWithSpaces>5300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2026-03-10T00:45:44Z</dcterms:created>
  <dc:creator>Un-named</dc:creator>
  <dc:description/>
  <dc:language>pt-BR</dc:language>
  <cp:lastModifiedBy>Un-named</cp:lastModifiedBy>
  <dcterms:modified xsi:type="dcterms:W3CDTF">2026-03-10T00:45:44Z</dcterms:modified>
  <cp:revision>1</cp:revision>
  <dc:subject/>
  <dc:title/>
</cp:coreProperties>
</file>