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0" w:line="276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DEPARTAMENTO DE INFORMÁTICA E ESTATÍSTICA - CTC - UFSC</w:t>
      </w:r>
    </w:p>
    <w:p>
      <w:pPr>
        <w:spacing w:after="300" w:before="0" w:line="276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RATIFICAÇÃO DE PLANO DE TRABALHO DO SEMESTRE PARA DESENVOLVIMENTO DE TCC</w:t>
      </w:r>
    </w:p>
    <w:p>
      <w:pPr>
        <w:spacing w:after="80" w:before="0" w:line="276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Disciplina: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(X) TCC1  ( ) TCC2</w:t>
      </w:r>
    </w:p>
    <w:p>
      <w:pPr>
        <w:spacing w:after="200" w:before="0" w:line="276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Curso: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(X) CCO  ( ) SIN</w:t>
      </w:r>
    </w:p>
    <w:p>
      <w:pPr>
        <w:spacing w:after="200" w:before="0" w:line="276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Nome do(s) autor(es):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Lucas Bueno Cesario</w:t>
      </w:r>
    </w:p>
    <w:p>
      <w:pPr>
        <w:spacing w:after="200" w:before="0" w:line="276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Título do TCC: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Polyglot Import CSV: Uma ferramenta para importação de documentos CSV para múltiplos bancos de dados</w:t>
      </w:r>
    </w:p>
    <w:p>
      <w:pPr>
        <w:spacing w:after="120" w:before="0" w:line="276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Objetivos: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Desenvolvimento da Ferramenta: Criar a ferramenta "Polyglot Import CSV" que seja capaz de importar documentos CSV de forma eficiente e precisa em diferentes bancos de dados.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Simplicidade na Configuração: Proporcionar uma interface que permita aos usuários configurar os parâmetros de importação de forma simples.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Flexibilidade de Banco de Dados: Garantir que a ferramenta possa ser aplicada a múltiplos sistemas de gerenciamento de banco de dados relacionais e não-relacionais, independentemente das diferenças de estrutura e formato.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Preservação da Integridade dos Dados: Assegurar que a importação de dados seja realizada de maneira precisa e sem perda de informações, mantendo a integridade dos dados importados.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Versatilidade em Cenários de Uso: Explorar casos práticos onde a ferramenta pode ser aplicada, como migrações, consolidações e integrações, demonstrando sua utilidade em diferentes contextos.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Validação e Testes Exaustivos: Realizar testes abrangentes para validar a funcionalidade da ferramenta, assegurando que ela atenda aos requisitos estabelecidos e funcione de maneira consistente.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Contribuição ao Campo de Gerenciamento de Dados: Acrescentar uma solução prática e inovadora ao campo de gerenciamento de dados, fornecendo uma abordagem mais eficaz para lidar com a importação de dados em sistemas heterogêneos.</w:t>
      </w:r>
    </w:p>
    <w:p>
      <w:pPr>
        <w:spacing w:after="200"/>
      </w:pPr>
    </w:p>
    <w:p>
      <w:pPr>
        <w:spacing w:after="160" w:before="0" w:line="276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Cronograma (TCC 1 — Abril a 01/07):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100"/>
        <w:gridCol w:w="3700"/>
        <w:gridCol w:w="2726"/>
      </w:tblGrid>
      <w:tr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Mês</w:t>
            </w:r>
          </w:p>
        </w:tc>
        <w:tc>
          <w:tcPr>
            <w:tcW w:type="dxa" w:w="11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Semana</w:t>
            </w:r>
          </w:p>
        </w:tc>
        <w:tc>
          <w:tcPr>
            <w:tcW w:type="dxa" w:w="3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Atividade</w:t>
            </w:r>
          </w:p>
        </w:tc>
        <w:tc>
          <w:tcPr>
            <w:tcW w:type="dxa" w:w="27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Foco</w:t>
            </w:r>
          </w:p>
        </w:tc>
      </w:tr>
      <w:tr>
        <w:tc>
          <w:tcPr>
            <w:tcW w:type="dxa" w:w="1500"/>
            <w:vMerge w:val="restart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Abril</w:t>
            </w:r>
          </w:p>
        </w:tc>
        <w:tc>
          <w:tcPr>
            <w:tcW w:type="dxa" w:w="11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3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Levantamento bibliográfico: bancos relacionais, NoSQL e persistência poliglota</w:t>
            </w:r>
          </w:p>
        </w:tc>
        <w:tc>
          <w:tcPr>
            <w:tcW w:type="dxa" w:w="27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Relatório</w:t>
            </w:r>
          </w:p>
        </w:tc>
      </w:tr>
      <w:tr>
        <w:tc>
          <w:tcPr>
            <w:vMerge w:val="continue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/>
        </w:tc>
        <w:tc>
          <w:tcPr>
            <w:tcW w:type="dxa" w:w="11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3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Análise de trabalhos relacionados e ferramentas de importação existentes</w:t>
            </w:r>
          </w:p>
        </w:tc>
        <w:tc>
          <w:tcPr>
            <w:tcW w:type="dxa" w:w="27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Relatório</w:t>
            </w:r>
          </w:p>
        </w:tc>
      </w:tr>
      <w:tr>
        <w:tc>
          <w:tcPr>
            <w:vMerge w:val="continue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/>
        </w:tc>
        <w:tc>
          <w:tcPr>
            <w:tcW w:type="dxa" w:w="11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3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Definição da arquitetura do MVP: modelagem poliglota do e-commerce (Redis, PostgreSQL, MongoDB, Cassandra, Neo4j)</w:t>
            </w:r>
          </w:p>
        </w:tc>
        <w:tc>
          <w:tcPr>
            <w:tcW w:type="dxa" w:w="27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MVP</w:t>
            </w:r>
          </w:p>
        </w:tc>
      </w:tr>
      <w:tr>
        <w:tc>
          <w:tcPr>
            <w:vMerge w:val="continue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/>
        </w:tc>
        <w:tc>
          <w:tcPr>
            <w:tcW w:type="dxa" w:w="11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3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Implementação do parser de configuração (importconfig.json) e correção de bugs existentes no código</w:t>
            </w:r>
          </w:p>
        </w:tc>
        <w:tc>
          <w:tcPr>
            <w:tcW w:type="dxa" w:w="27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MVP</w:t>
            </w:r>
          </w:p>
        </w:tc>
      </w:tr>
      <w:tr>
        <w:tc>
          <w:tcPr>
            <w:tcW w:type="dxa" w:w="1500"/>
            <w:vMerge w:val="restart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Maio</w:t>
            </w:r>
          </w:p>
        </w:tc>
        <w:tc>
          <w:tcPr>
            <w:tcW w:type="dxa" w:w="11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3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Implementação dos validadores e mapeamento CSV para as 5 bases de dados</w:t>
            </w:r>
          </w:p>
        </w:tc>
        <w:tc>
          <w:tcPr>
            <w:tcW w:type="dxa" w:w="27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MVP</w:t>
            </w:r>
          </w:p>
        </w:tc>
      </w:tr>
      <w:tr>
        <w:tc>
          <w:tcPr>
            <w:vMerge w:val="continue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/>
        </w:tc>
        <w:tc>
          <w:tcPr>
            <w:tcW w:type="dxa" w:w="11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3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Testes do MVP com dados de exemplo (ecommerce_data.csv) e ajustes</w:t>
            </w:r>
          </w:p>
        </w:tc>
        <w:tc>
          <w:tcPr>
            <w:tcW w:type="dxa" w:w="27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MVP</w:t>
            </w:r>
          </w:p>
        </w:tc>
      </w:tr>
      <w:tr>
        <w:tc>
          <w:tcPr>
            <w:vMerge w:val="continue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/>
        </w:tc>
        <w:tc>
          <w:tcPr>
            <w:tcW w:type="dxa" w:w="11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3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Escrita dos capítulos de Introdução e Fundamentação Teórica</w:t>
            </w:r>
          </w:p>
        </w:tc>
        <w:tc>
          <w:tcPr>
            <w:tcW w:type="dxa" w:w="27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Relatório</w:t>
            </w:r>
          </w:p>
        </w:tc>
      </w:tr>
      <w:tr>
        <w:tc>
          <w:tcPr>
            <w:vMerge w:val="continue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/>
        </w:tc>
        <w:tc>
          <w:tcPr>
            <w:tcW w:type="dxa" w:w="11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3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Escrita do capítulo de Trabalhos Relacionados / Estado da Arte</w:t>
            </w:r>
          </w:p>
        </w:tc>
        <w:tc>
          <w:tcPr>
            <w:tcW w:type="dxa" w:w="27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Relatório</w:t>
            </w:r>
          </w:p>
        </w:tc>
      </w:tr>
      <w:tr>
        <w:tc>
          <w:tcPr>
            <w:tcW w:type="dxa" w:w="1500"/>
            <w:vMerge w:val="restart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Junho</w:t>
            </w:r>
          </w:p>
        </w:tc>
        <w:tc>
          <w:tcPr>
            <w:tcW w:type="dxa" w:w="11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3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Escrita do capítulo de Metodologia e Proposta de Solução (com descrição da arquitetura e do MVP)</w:t>
            </w:r>
          </w:p>
        </w:tc>
        <w:tc>
          <w:tcPr>
            <w:tcW w:type="dxa" w:w="27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Ambos</w:t>
            </w:r>
          </w:p>
        </w:tc>
      </w:tr>
      <w:tr>
        <w:tc>
          <w:tcPr>
            <w:vMerge w:val="continue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/>
        </w:tc>
        <w:tc>
          <w:tcPr>
            <w:tcW w:type="dxa" w:w="11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3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Documentação do MVP no relatório: diagramas, exemplos de uso e resultados parciais</w:t>
            </w:r>
          </w:p>
        </w:tc>
        <w:tc>
          <w:tcPr>
            <w:tcW w:type="dxa" w:w="27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Ambos</w:t>
            </w:r>
          </w:p>
        </w:tc>
      </w:tr>
      <w:tr>
        <w:tc>
          <w:tcPr>
            <w:vMerge w:val="continue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/>
        </w:tc>
        <w:tc>
          <w:tcPr>
            <w:tcW w:type="dxa" w:w="11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3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Revisão geral do relatório, formatação ABNT e ajustes com orientador</w:t>
            </w:r>
          </w:p>
        </w:tc>
        <w:tc>
          <w:tcPr>
            <w:tcW w:type="dxa" w:w="27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Relatório</w:t>
            </w:r>
          </w:p>
        </w:tc>
      </w:tr>
      <w:tr>
        <w:tc>
          <w:tcPr>
            <w:vMerge w:val="continue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/>
        </w:tc>
        <w:tc>
          <w:tcPr>
            <w:tcW w:type="dxa" w:w="11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3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Ajustes finais, revisão ortográfica e entrega do relatório parcial (01/07)</w:t>
            </w:r>
          </w:p>
        </w:tc>
        <w:tc>
          <w:tcPr>
            <w:tcW w:type="dxa" w:w="27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Relatório</w:t>
            </w:r>
          </w:p>
        </w:tc>
      </w:tr>
    </w:tbl>
    <w:p>
      <w:pPr>
        <w:spacing w:after="120"/>
      </w:pPr>
    </w:p>
    <w:p>
      <w:pPr>
        <w:spacing w:after="80" w:before="0" w:line="276"/>
        <w:jc w:val="left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Legenda:</w:t>
      </w:r>
    </w:p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600"/>
      </w:tblGrid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2EFD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/>
        </w:tc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  Desenvolvimento (MVP)</w:t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CE4D6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/>
        </w:tc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  Escrita (Relatório)</w:t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2C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/>
        </w:tc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  Ambos</w:t>
            </w:r>
          </w:p>
        </w:tc>
      </w:tr>
    </w:tbl>
    <w:p>
      <w:pPr>
        <w:spacing w:after="200"/>
      </w:pPr>
    </w:p>
    <w:p>
      <w:pPr>
        <w:spacing w:after="300" w:before="0" w:line="276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Observação: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Em TCC 2 (próximo semestre) serão realizados a finalização do relatório completo nas normas ABNT, a implementação de funcionalidades adicionais (importação efetiva para os bancos de dados com drivers de conexão) e os testes de validação exaustivos.</w:t>
      </w:r>
    </w:p>
    <w:p>
      <w:pPr>
        <w:spacing w:after="100"/>
      </w:pPr>
    </w:p>
    <w:p>
      <w:pPr>
        <w:spacing w:after="120" w:before="0" w:line="276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Nome do Professor responsável: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Ronaldo dos Santos Mello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  <w:rPr>
        <w:rFonts w:ascii="Times New Roman" w:cs="Times New Roman" w:eastAsia="Times New Roman" w:hAnsi="Times New Roman"/>
        <w:sz w:val="24"/>
        <w:szCs w:val="24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2026-03-10T00:45:44.184Z</dcterms:created>
  <dcterms:modified xsi:type="dcterms:W3CDTF">2026-03-10T00:45:44.185Z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