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rFonts w:eastAsia="Arial" w:cs="Arial"/>
          <w:color w:val="2E75B6"/>
          <w:sz w:val="36"/>
          <w:szCs w:val="36"/>
        </w:rPr>
      </w:pPr>
      <w:r>
        <w:rPr/>
      </w:r>
    </w:p>
    <w:p>
      <w:pPr>
        <w:pStyle w:val="Normal"/>
        <w:spacing w:before="600" w:after="120"/>
        <w:jc w:val="center"/>
        <w:rPr>
          <w:rFonts w:eastAsia="Arial" w:cs="Arial"/>
          <w:b/>
          <w:bCs/>
          <w:color w:val="1F4E79"/>
          <w:sz w:val="80"/>
          <w:szCs w:val="80"/>
        </w:rPr>
      </w:pPr>
      <w:r>
        <w:rPr>
          <w:rFonts w:eastAsia="Arial" w:cs="Arial"/>
          <w:b/>
          <w:bCs/>
          <w:color w:val="1F4E79"/>
          <w:sz w:val="80"/>
          <w:szCs w:val="80"/>
        </w:rPr>
        <w:t>TicketCore</w:t>
      </w:r>
    </w:p>
    <w:p>
      <w:pPr>
        <w:pStyle w:val="Normal"/>
        <w:spacing w:before="0" w:after="800"/>
        <w:jc w:val="center"/>
        <w:rPr>
          <w:rFonts w:eastAsia="Arial" w:cs="Arial"/>
          <w:color w:val="404040"/>
          <w:sz w:val="28"/>
          <w:szCs w:val="28"/>
        </w:rPr>
      </w:pPr>
      <w:r>
        <w:rPr>
          <w:rFonts w:eastAsia="Arial" w:cs="Arial"/>
          <w:color w:val="404040"/>
          <w:sz w:val="28"/>
          <w:szCs w:val="28"/>
        </w:rPr>
        <w:t>Plataforma de Gestão e Comercialização de Ingressos</w:t>
      </w:r>
    </w:p>
    <w:tbl>
      <w:tblPr>
        <w:tblW w:w="9638" w:type="dxa"/>
        <w:jc w:val="start"/>
        <w:tblInd w:w="0" w:type="dxa"/>
        <w:tblLayout w:type="fixed"/>
        <w:tblCellMar>
          <w:top w:w="80" w:type="dxa"/>
          <w:start w:w="120" w:type="dxa"/>
          <w:bottom w:w="80" w:type="dxa"/>
          <w:end w:w="120" w:type="dxa"/>
        </w:tblCellMar>
      </w:tblPr>
      <w:tblGrid>
        <w:gridCol w:w="2796"/>
        <w:gridCol w:w="6842"/>
      </w:tblGrid>
      <w:tr>
        <w:trPr/>
        <w:tc>
          <w:tcPr>
            <w:tcW w:w="2796" w:type="dxa"/>
            <w:tcBorders>
              <w:top w:val="single" w:sz="2" w:space="0" w:color="BFBFBF"/>
              <w:start w:val="single" w:sz="2" w:space="0" w:color="BFBFBF"/>
              <w:bottom w:val="single" w:sz="2" w:space="0" w:color="BFBFBF"/>
              <w:end w:val="single" w:sz="2" w:space="0" w:color="BFBFBF"/>
            </w:tcBorders>
            <w:shd w:fill="D6E4F0" w:val="clear"/>
          </w:tcPr>
          <w:p>
            <w:pPr>
              <w:pStyle w:val="Normal"/>
              <w:rPr>
                <w:rFonts w:eastAsia="Arial" w:cs="Arial"/>
                <w:b/>
                <w:bCs/>
                <w:color w:val="1F4E79"/>
                <w:sz w:val="20"/>
                <w:szCs w:val="20"/>
              </w:rPr>
            </w:pPr>
            <w:r>
              <w:rPr>
                <w:rFonts w:eastAsia="Arial" w:cs="Arial"/>
                <w:b/>
                <w:bCs/>
                <w:color w:val="1F4E79"/>
                <w:sz w:val="20"/>
                <w:szCs w:val="20"/>
              </w:rPr>
              <w:t>SGBD</w:t>
            </w:r>
          </w:p>
        </w:tc>
        <w:tc>
          <w:tcPr>
            <w:tcW w:w="684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20"/>
                <w:szCs w:val="20"/>
              </w:rPr>
            </w:pPr>
            <w:r>
              <w:rPr>
                <w:rFonts w:eastAsia="Arial" w:cs="Arial"/>
                <w:color w:val="404040"/>
                <w:sz w:val="20"/>
                <w:szCs w:val="20"/>
              </w:rPr>
              <w:t>PostgreSQL</w:t>
            </w:r>
          </w:p>
        </w:tc>
      </w:tr>
      <w:tr>
        <w:trPr/>
        <w:tc>
          <w:tcPr>
            <w:tcW w:w="2796" w:type="dxa"/>
            <w:tcBorders>
              <w:top w:val="single" w:sz="2" w:space="0" w:color="BFBFBF"/>
              <w:start w:val="single" w:sz="2" w:space="0" w:color="BFBFBF"/>
              <w:bottom w:val="single" w:sz="2" w:space="0" w:color="BFBFBF"/>
              <w:end w:val="single" w:sz="2" w:space="0" w:color="BFBFBF"/>
            </w:tcBorders>
            <w:shd w:fill="D6E4F0" w:val="clear"/>
          </w:tcPr>
          <w:p>
            <w:pPr>
              <w:pStyle w:val="Normal"/>
              <w:rPr>
                <w:rFonts w:eastAsia="Arial" w:cs="Arial"/>
                <w:b/>
                <w:bCs/>
                <w:color w:val="1F4E79"/>
                <w:sz w:val="20"/>
                <w:szCs w:val="20"/>
              </w:rPr>
            </w:pPr>
            <w:r>
              <w:rPr>
                <w:rFonts w:eastAsia="Arial" w:cs="Arial"/>
                <w:b/>
                <w:bCs/>
                <w:color w:val="1F4E79"/>
                <w:sz w:val="20"/>
                <w:szCs w:val="20"/>
              </w:rPr>
              <w:t>Back-end</w:t>
            </w:r>
          </w:p>
        </w:tc>
        <w:tc>
          <w:tcPr>
            <w:tcW w:w="684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20"/>
                <w:szCs w:val="20"/>
              </w:rPr>
            </w:pPr>
            <w:r>
              <w:rPr>
                <w:rFonts w:eastAsia="Arial" w:cs="Arial"/>
                <w:color w:val="404040"/>
                <w:sz w:val="20"/>
                <w:szCs w:val="20"/>
              </w:rPr>
              <w:t>Java com JDBC</w:t>
            </w:r>
          </w:p>
        </w:tc>
      </w:tr>
      <w:tr>
        <w:trPr/>
        <w:tc>
          <w:tcPr>
            <w:tcW w:w="2796" w:type="dxa"/>
            <w:tcBorders>
              <w:top w:val="single" w:sz="2" w:space="0" w:color="BFBFBF"/>
              <w:start w:val="single" w:sz="2" w:space="0" w:color="BFBFBF"/>
              <w:bottom w:val="single" w:sz="2" w:space="0" w:color="BFBFBF"/>
              <w:end w:val="single" w:sz="2" w:space="0" w:color="BFBFBF"/>
            </w:tcBorders>
            <w:shd w:fill="D6E4F0" w:val="clear"/>
          </w:tcPr>
          <w:p>
            <w:pPr>
              <w:pStyle w:val="Normal"/>
              <w:rPr>
                <w:rFonts w:eastAsia="Arial" w:cs="Arial"/>
                <w:b/>
                <w:bCs/>
                <w:color w:val="1F4E79"/>
                <w:sz w:val="20"/>
                <w:szCs w:val="20"/>
              </w:rPr>
            </w:pPr>
            <w:r>
              <w:rPr>
                <w:rFonts w:eastAsia="Arial" w:cs="Arial"/>
                <w:b/>
                <w:bCs/>
                <w:color w:val="1F4E79"/>
                <w:sz w:val="20"/>
                <w:szCs w:val="20"/>
              </w:rPr>
              <w:t>Front-end</w:t>
            </w:r>
          </w:p>
        </w:tc>
        <w:tc>
          <w:tcPr>
            <w:tcW w:w="684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20"/>
                <w:szCs w:val="20"/>
              </w:rPr>
            </w:pPr>
            <w:r>
              <w:rPr>
                <w:rFonts w:eastAsia="Arial" w:cs="Arial"/>
                <w:color w:val="404040"/>
                <w:sz w:val="20"/>
                <w:szCs w:val="20"/>
              </w:rPr>
              <w:t>Angular</w:t>
            </w:r>
          </w:p>
        </w:tc>
      </w:tr>
      <w:tr>
        <w:trPr/>
        <w:tc>
          <w:tcPr>
            <w:tcW w:w="2796" w:type="dxa"/>
            <w:tcBorders>
              <w:top w:val="single" w:sz="2" w:space="0" w:color="BFBFBF"/>
              <w:start w:val="single" w:sz="2" w:space="0" w:color="BFBFBF"/>
              <w:bottom w:val="single" w:sz="2" w:space="0" w:color="BFBFBF"/>
              <w:end w:val="single" w:sz="2" w:space="0" w:color="BFBFBF"/>
            </w:tcBorders>
            <w:shd w:fill="D6E4F0" w:val="clear"/>
          </w:tcPr>
          <w:p>
            <w:pPr>
              <w:pStyle w:val="Normal"/>
              <w:rPr>
                <w:rFonts w:eastAsia="Arial" w:cs="Arial"/>
                <w:b/>
                <w:bCs/>
                <w:color w:val="1F4E79"/>
                <w:sz w:val="20"/>
                <w:szCs w:val="20"/>
              </w:rPr>
            </w:pPr>
            <w:r>
              <w:rPr>
                <w:rFonts w:eastAsia="Arial" w:cs="Arial"/>
                <w:b/>
                <w:bCs/>
                <w:color w:val="1F4E79"/>
                <w:sz w:val="20"/>
                <w:szCs w:val="20"/>
              </w:rPr>
              <w:t>Versão</w:t>
            </w:r>
          </w:p>
        </w:tc>
        <w:tc>
          <w:tcPr>
            <w:tcW w:w="684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20"/>
                <w:szCs w:val="20"/>
              </w:rPr>
            </w:pPr>
            <w:r>
              <w:rPr>
                <w:rFonts w:eastAsia="Arial" w:cs="Arial"/>
                <w:color w:val="404040"/>
                <w:sz w:val="20"/>
                <w:szCs w:val="20"/>
              </w:rPr>
              <w:t>1.0</w:t>
            </w:r>
          </w:p>
        </w:tc>
      </w:tr>
    </w:tbl>
    <w:p>
      <w:pPr>
        <w:pStyle w:val="Normal"/>
        <w:rPr/>
      </w:pPr>
      <w:r>
        <w:rPr/>
      </w:r>
    </w:p>
    <w:p>
      <w:pPr>
        <w:pStyle w:val="Normal"/>
        <w:spacing w:before="0" w:after="0"/>
        <w:rPr/>
      </w:pPr>
      <w:r>
        <w:rPr/>
      </w:r>
    </w:p>
    <w:p>
      <w:pPr>
        <w:pStyle w:val="Normal"/>
        <w:rPr/>
      </w:pPr>
      <w:r>
        <w:rPr/>
      </w:r>
    </w:p>
    <w:p>
      <w:pPr>
        <w:pStyle w:val="Normal"/>
        <w:rPr/>
      </w:pPr>
      <w:r>
        <w:rPr/>
      </w:r>
      <w:r>
        <w:br w:type="page"/>
      </w:r>
    </w:p>
    <w:p>
      <w:pPr>
        <w:pStyle w:val="Heading11"/>
        <w:spacing w:before="0" w:after="0"/>
        <w:rPr>
          <w:rFonts w:eastAsia="Arial" w:cs="Arial"/>
          <w:b/>
          <w:bCs/>
          <w:color w:val="1F4E79"/>
          <w:sz w:val="36"/>
          <w:szCs w:val="36"/>
        </w:rPr>
      </w:pPr>
      <w:r>
        <w:rPr>
          <w:rFonts w:eastAsia="Arial" w:cs="Arial"/>
          <w:b/>
          <w:bCs/>
          <w:color w:val="1F4E79"/>
          <w:sz w:val="36"/>
          <w:szCs w:val="36"/>
        </w:rPr>
        <w:t>1. Descrição do Sistema</w:t>
      </w:r>
    </w:p>
    <w:p>
      <w:pPr>
        <w:pStyle w:val="Heading21"/>
        <w:rPr>
          <w:rFonts w:eastAsia="Arial" w:cs="Arial"/>
          <w:b/>
          <w:bCs/>
          <w:color w:val="2E75B6"/>
          <w:sz w:val="28"/>
          <w:szCs w:val="28"/>
        </w:rPr>
      </w:pPr>
      <w:r>
        <w:rPr>
          <w:rFonts w:eastAsia="Arial" w:cs="Arial"/>
          <w:b/>
          <w:bCs/>
          <w:color w:val="2E75B6"/>
          <w:sz w:val="28"/>
          <w:szCs w:val="28"/>
        </w:rPr>
        <w:t>1.1 Nome do Sistema</w:t>
      </w:r>
    </w:p>
    <w:p>
      <w:pPr>
        <w:pStyle w:val="Normal"/>
        <w:spacing w:before="60" w:after="60"/>
        <w:jc w:val="both"/>
        <w:rPr>
          <w:rFonts w:eastAsia="Arial" w:cs="Arial"/>
          <w:color w:val="404040"/>
          <w:sz w:val="22"/>
          <w:szCs w:val="22"/>
        </w:rPr>
      </w:pPr>
      <w:r>
        <w:rPr>
          <w:rFonts w:eastAsia="Arial" w:cs="Arial"/>
          <w:color w:val="404040"/>
          <w:sz w:val="22"/>
          <w:szCs w:val="22"/>
        </w:rPr>
        <w:t>TicketCore — Plataforma de Gestão e Comercialização Multipropósito de Ingressos.</w:t>
      </w:r>
    </w:p>
    <w:p>
      <w:pPr>
        <w:pStyle w:val="Heading21"/>
        <w:rPr>
          <w:rFonts w:eastAsia="Arial" w:cs="Arial"/>
          <w:b/>
          <w:bCs/>
          <w:color w:val="2E75B6"/>
          <w:sz w:val="28"/>
          <w:szCs w:val="28"/>
        </w:rPr>
      </w:pPr>
      <w:r>
        <w:rPr>
          <w:rFonts w:eastAsia="Arial" w:cs="Arial"/>
          <w:b/>
          <w:bCs/>
          <w:color w:val="2E75B6"/>
          <w:sz w:val="28"/>
          <w:szCs w:val="28"/>
        </w:rPr>
        <w:t>1.2 Área de Atuação</w:t>
      </w:r>
    </w:p>
    <w:p>
      <w:pPr>
        <w:pStyle w:val="Normal"/>
        <w:spacing w:before="60" w:after="60"/>
        <w:jc w:val="both"/>
        <w:rPr>
          <w:rFonts w:eastAsia="Arial" w:cs="Arial"/>
          <w:color w:val="404040"/>
          <w:sz w:val="22"/>
          <w:szCs w:val="22"/>
        </w:rPr>
      </w:pPr>
      <w:r>
        <w:rPr>
          <w:rFonts w:eastAsia="Arial" w:cs="Arial"/>
          <w:color w:val="404040"/>
          <w:sz w:val="22"/>
          <w:szCs w:val="22"/>
        </w:rPr>
        <w:t>Tecnologia aplicada ao mercado de entretenimento, eventos culturais, esportivos e corporativos. O sistema opera como uma plataforma B2C e B2B centralizada, atendendo simultaneamente organizadores de eventos e compradores finais de ingressos.</w:t>
      </w:r>
    </w:p>
    <w:p>
      <w:pPr>
        <w:pStyle w:val="Heading21"/>
        <w:rPr>
          <w:rFonts w:eastAsia="Arial" w:cs="Arial"/>
          <w:b/>
          <w:bCs/>
          <w:color w:val="2E75B6"/>
          <w:sz w:val="28"/>
          <w:szCs w:val="28"/>
        </w:rPr>
      </w:pPr>
      <w:r>
        <w:rPr>
          <w:rFonts w:eastAsia="Arial" w:cs="Arial"/>
          <w:b/>
          <w:bCs/>
          <w:color w:val="2E75B6"/>
          <w:sz w:val="28"/>
          <w:szCs w:val="28"/>
        </w:rPr>
        <w:t>1.3 Objetivo do Sistema</w:t>
      </w:r>
    </w:p>
    <w:p>
      <w:pPr>
        <w:pStyle w:val="Normal"/>
        <w:spacing w:before="60" w:after="60"/>
        <w:jc w:val="both"/>
        <w:rPr>
          <w:rFonts w:eastAsia="Arial" w:cs="Arial"/>
          <w:color w:val="404040"/>
          <w:sz w:val="22"/>
          <w:szCs w:val="22"/>
        </w:rPr>
      </w:pPr>
      <w:r>
        <w:rPr>
          <w:rFonts w:eastAsia="Arial" w:cs="Arial"/>
          <w:color w:val="404040"/>
          <w:sz w:val="22"/>
          <w:szCs w:val="22"/>
        </w:rPr>
        <w:t>O TicketCore tem como objetivo central fornecer um motor transacional de alta integridade para a venda, gestão e controle de ingressos de eventos. Seus objetivos específicos são:</w:t>
      </w:r>
    </w:p>
    <w:p>
      <w:pPr>
        <w:pStyle w:val="ListParagraph"/>
        <w:numPr>
          <w:ilvl w:val="0"/>
          <w:numId w:val="4"/>
        </w:numPr>
        <w:spacing w:before="40" w:after="40"/>
        <w:rPr>
          <w:rFonts w:eastAsia="Arial" w:cs="Arial"/>
          <w:color w:val="404040"/>
          <w:sz w:val="22"/>
          <w:szCs w:val="22"/>
        </w:rPr>
      </w:pPr>
      <w:r>
        <w:rPr>
          <w:rFonts w:eastAsia="Arial" w:cs="Arial"/>
          <w:color w:val="404040"/>
          <w:sz w:val="22"/>
          <w:szCs w:val="22"/>
        </w:rPr>
        <w:t>Unificar sob uma única conta de usuário os papéis de Organizador e Comprador, eliminando a fragmentação de identidade presente em sistemas legados.</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Oferecer aos organizadores controle granular sobre a configuração de eventos, permitindo a segmentação em múltiplos lotes e setores com preços e capacidades independentes.</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Garantir integridade financeira e operacional através de regras de negócio delegadas ao SGBD, incluindo bloqueio automático de overbooking e procedimentos transacionais de cancelamento.</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Prover rastreabilidade completa de cada movimentação financeira, desde a emissão do ingresso até seu eventual cancelamento ou utilização no evento.</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Expor notificações assíncronas via webhooks configuráveis, permitindo integração com sistemas externos dos organizadores.</w:t>
      </w:r>
    </w:p>
    <w:p>
      <w:pPr>
        <w:pStyle w:val="Heading21"/>
        <w:rPr>
          <w:rFonts w:eastAsia="Arial" w:cs="Arial"/>
          <w:b/>
          <w:bCs/>
          <w:color w:val="2E75B6"/>
          <w:sz w:val="28"/>
          <w:szCs w:val="28"/>
        </w:rPr>
      </w:pPr>
      <w:r>
        <w:rPr>
          <w:rFonts w:eastAsia="Arial" w:cs="Arial"/>
          <w:b/>
          <w:bCs/>
          <w:color w:val="2E75B6"/>
          <w:sz w:val="28"/>
          <w:szCs w:val="28"/>
        </w:rPr>
        <w:t>1.4 Problema que o Sistema Resolve</w:t>
      </w:r>
    </w:p>
    <w:p>
      <w:pPr>
        <w:pStyle w:val="Normal"/>
        <w:spacing w:before="60" w:after="60"/>
        <w:jc w:val="both"/>
        <w:rPr>
          <w:rFonts w:eastAsia="Arial" w:cs="Arial"/>
          <w:color w:val="404040"/>
          <w:sz w:val="22"/>
          <w:szCs w:val="22"/>
        </w:rPr>
      </w:pPr>
      <w:r>
        <w:rPr>
          <w:rFonts w:eastAsia="Arial" w:cs="Arial"/>
          <w:color w:val="404040"/>
          <w:sz w:val="22"/>
          <w:szCs w:val="22"/>
        </w:rPr>
        <w:t>O mercado de eventos enfrenta quatro gargalos operacionais críticos que o TicketCore soluciona diretamente:</w:t>
      </w:r>
    </w:p>
    <w:p>
      <w:pPr>
        <w:pStyle w:val="Heading31"/>
        <w:rPr>
          <w:rFonts w:eastAsia="Arial" w:cs="Arial"/>
          <w:b/>
          <w:bCs/>
          <w:color w:val="404040"/>
          <w:sz w:val="24"/>
          <w:szCs w:val="24"/>
        </w:rPr>
      </w:pPr>
      <w:r>
        <w:rPr>
          <w:rFonts w:eastAsia="Arial" w:cs="Arial"/>
          <w:b/>
          <w:bCs/>
          <w:color w:val="404040"/>
          <w:sz w:val="24"/>
          <w:szCs w:val="24"/>
        </w:rPr>
        <w:t>Overbooking e Falhas de Lotação</w:t>
      </w:r>
    </w:p>
    <w:p>
      <w:pPr>
        <w:pStyle w:val="Normal"/>
        <w:spacing w:before="60" w:after="60"/>
        <w:jc w:val="both"/>
        <w:rPr>
          <w:rFonts w:eastAsia="Arial" w:cs="Arial"/>
          <w:color w:val="404040"/>
          <w:sz w:val="22"/>
          <w:szCs w:val="22"/>
        </w:rPr>
      </w:pPr>
      <w:r>
        <w:rPr>
          <w:rFonts w:eastAsia="Arial" w:cs="Arial"/>
          <w:color w:val="404040"/>
          <w:sz w:val="22"/>
          <w:szCs w:val="22"/>
        </w:rPr>
        <w:t>A ausência de controle transacional rigoroso nas plataformas tradicionais permite que o número de ingressos vendidos exceda a capacidade física do local. O TicketCore resolve este problema com um Trigger BEFORE INSERT que intercepta cada emissão de ingresso e executa uma validação dupla: verifica a capacidade total do evento e a capacidade específica do lote solicitado. Se qualquer uma das condições falhar, a operação é abortada com ROLLBACK imediato.</w:t>
      </w:r>
    </w:p>
    <w:p>
      <w:pPr>
        <w:pStyle w:val="Heading31"/>
        <w:rPr>
          <w:rFonts w:eastAsia="Arial" w:cs="Arial"/>
          <w:b/>
          <w:bCs/>
          <w:color w:val="404040"/>
          <w:sz w:val="24"/>
          <w:szCs w:val="24"/>
        </w:rPr>
      </w:pPr>
      <w:r>
        <w:rPr>
          <w:rFonts w:eastAsia="Arial" w:cs="Arial"/>
          <w:b/>
          <w:bCs/>
          <w:color w:val="404040"/>
          <w:sz w:val="24"/>
          <w:szCs w:val="24"/>
        </w:rPr>
        <w:t>Gestão de Perfis Fragmentada</w:t>
      </w:r>
    </w:p>
    <w:p>
      <w:pPr>
        <w:pStyle w:val="Normal"/>
        <w:spacing w:before="60" w:after="60"/>
        <w:jc w:val="both"/>
        <w:rPr>
          <w:rFonts w:eastAsia="Arial" w:cs="Arial"/>
          <w:color w:val="404040"/>
          <w:sz w:val="22"/>
          <w:szCs w:val="22"/>
        </w:rPr>
      </w:pPr>
      <w:r>
        <w:rPr>
          <w:rFonts w:eastAsia="Arial" w:cs="Arial"/>
          <w:color w:val="404040"/>
          <w:sz w:val="22"/>
          <w:szCs w:val="22"/>
        </w:rPr>
        <w:t>Sistemas tradicionais obrigam cadastros separados para compradores e organizadores. O TicketCore implementa um modelo RBAC (Role-Based Access Control) através da tabela associativa USP_usuario_perfil, que permite que uma mesma conta possua múltiplos perfis simultaneamente, transitando entre os papéis de Comprador e Organizador sem atrito.</w:t>
      </w:r>
    </w:p>
    <w:p>
      <w:pPr>
        <w:pStyle w:val="Heading31"/>
        <w:rPr>
          <w:rFonts w:eastAsia="Arial" w:cs="Arial"/>
          <w:b/>
          <w:bCs/>
          <w:color w:val="404040"/>
          <w:sz w:val="24"/>
          <w:szCs w:val="24"/>
        </w:rPr>
      </w:pPr>
      <w:r>
        <w:rPr>
          <w:rFonts w:eastAsia="Arial" w:cs="Arial"/>
          <w:b/>
          <w:bCs/>
          <w:color w:val="404040"/>
          <w:sz w:val="24"/>
          <w:szCs w:val="24"/>
        </w:rPr>
        <w:t>Falta de Rastreabilidade Financeira</w:t>
      </w:r>
    </w:p>
    <w:p>
      <w:pPr>
        <w:pStyle w:val="Normal"/>
        <w:spacing w:before="60" w:after="60"/>
        <w:jc w:val="both"/>
        <w:rPr>
          <w:rFonts w:eastAsia="Arial" w:cs="Arial"/>
          <w:color w:val="404040"/>
          <w:sz w:val="22"/>
          <w:szCs w:val="22"/>
        </w:rPr>
      </w:pPr>
      <w:r>
        <w:rPr>
          <w:rFonts w:eastAsia="Arial" w:cs="Arial"/>
          <w:color w:val="404040"/>
          <w:sz w:val="22"/>
          <w:szCs w:val="22"/>
        </w:rPr>
        <w:t>O modelo transacional do sistema registra cada ordem de compra em TRA_transacao com status granular (Pendente, Concluída, Cancelada) e cada ingresso individual em ING_ingresso com seu próprio ciclo de vida (Ativo, Utilizado, Cancelado). A View VW_resumo_vendas_evento consolida em tempo real a receita total e a ocupação de cada evento, eliminando a necessidade de relatórios manuais.</w:t>
      </w:r>
    </w:p>
    <w:p>
      <w:pPr>
        <w:pStyle w:val="Heading31"/>
        <w:rPr/>
      </w:pPr>
      <w:r>
        <w:rPr>
          <w:rFonts w:eastAsia="Arial" w:cs="Arial"/>
          <w:b/>
          <w:bCs/>
          <w:color w:val="404040"/>
          <w:sz w:val="24"/>
          <w:szCs w:val="24"/>
        </w:rPr>
        <w:t>Rigidez de Catálogo</w:t>
      </w:r>
    </w:p>
    <w:p>
      <w:pPr>
        <w:pStyle w:val="Normal"/>
        <w:spacing w:before="60" w:after="60"/>
        <w:jc w:val="both"/>
        <w:rPr>
          <w:rFonts w:eastAsia="Arial" w:cs="Arial"/>
          <w:color w:val="404040"/>
          <w:sz w:val="22"/>
          <w:szCs w:val="22"/>
        </w:rPr>
      </w:pPr>
      <w:r>
        <w:rPr>
          <w:rFonts w:eastAsia="Arial" w:cs="Arial"/>
          <w:color w:val="404040"/>
          <w:sz w:val="22"/>
          <w:szCs w:val="22"/>
        </w:rPr>
        <w:t>A tabela TPI_tipo_ingresso permite que um mesmo evento possua N tipos de ingresso com preços, quantidades e nomes arbitrários (VIP, Meia-Entrada, Pista, Camarote), adaptando-se a qualquer formato de evento sem alterações estruturais.</w:t>
      </w:r>
    </w:p>
    <w:p>
      <w:pPr>
        <w:pStyle w:val="Normal"/>
        <w:spacing w:before="60" w:after="60"/>
        <w:jc w:val="both"/>
        <w:rPr>
          <w:rFonts w:eastAsia="Arial" w:cs="Arial"/>
          <w:b/>
          <w:bCs/>
          <w:color w:val="1F4E79"/>
          <w:sz w:val="36"/>
          <w:szCs w:val="36"/>
        </w:rPr>
      </w:pPr>
      <w:r>
        <w:rPr>
          <w:rFonts w:eastAsia="Arial" w:cs="Arial"/>
          <w:b/>
          <w:bCs/>
          <w:color w:val="1F4E79"/>
          <w:sz w:val="36"/>
          <w:szCs w:val="36"/>
        </w:rPr>
      </w:r>
    </w:p>
    <w:p>
      <w:pPr>
        <w:pStyle w:val="Normal"/>
        <w:spacing w:before="60" w:after="60"/>
        <w:jc w:val="both"/>
        <w:rPr>
          <w:rFonts w:eastAsia="Arial" w:cs="Arial"/>
          <w:b/>
          <w:bCs/>
          <w:color w:val="1F4E79"/>
          <w:sz w:val="36"/>
          <w:szCs w:val="36"/>
        </w:rPr>
      </w:pPr>
      <w:r>
        <w:rPr>
          <w:rFonts w:eastAsia="Arial" w:cs="Arial"/>
          <w:b/>
          <w:bCs/>
          <w:color w:val="1F4E79"/>
          <w:sz w:val="36"/>
          <w:szCs w:val="36"/>
        </w:rPr>
        <w:t>2. Requisitos do Sistema</w:t>
      </w:r>
    </w:p>
    <w:p>
      <w:pPr>
        <w:pStyle w:val="Heading21"/>
        <w:rPr>
          <w:rFonts w:eastAsia="Arial" w:cs="Arial"/>
          <w:b/>
          <w:bCs/>
          <w:color w:val="2E75B6"/>
          <w:sz w:val="28"/>
          <w:szCs w:val="28"/>
        </w:rPr>
      </w:pPr>
      <w:r>
        <w:rPr>
          <w:rFonts w:eastAsia="Arial" w:cs="Arial"/>
          <w:b/>
          <w:bCs/>
          <w:color w:val="2E75B6"/>
          <w:sz w:val="28"/>
          <w:szCs w:val="28"/>
        </w:rPr>
        <w:t>2.1 Requisitos Funcionais</w:t>
      </w:r>
    </w:p>
    <w:p>
      <w:pPr>
        <w:pStyle w:val="Heading31"/>
        <w:rPr>
          <w:rFonts w:eastAsia="Arial" w:cs="Arial"/>
          <w:b/>
          <w:bCs/>
          <w:color w:val="404040"/>
          <w:sz w:val="24"/>
          <w:szCs w:val="24"/>
        </w:rPr>
      </w:pPr>
      <w:r>
        <w:rPr>
          <w:rFonts w:eastAsia="Arial" w:cs="Arial"/>
          <w:b/>
          <w:bCs/>
          <w:color w:val="404040"/>
          <w:sz w:val="24"/>
          <w:szCs w:val="24"/>
        </w:rPr>
        <w:t>RF01 — Gestão de Identidade Unificada</w:t>
      </w:r>
    </w:p>
    <w:p>
      <w:pPr>
        <w:pStyle w:val="Normal"/>
        <w:spacing w:before="60" w:after="60"/>
        <w:jc w:val="both"/>
        <w:rPr>
          <w:rFonts w:eastAsia="Arial" w:cs="Arial"/>
          <w:color w:val="404040"/>
          <w:sz w:val="22"/>
          <w:szCs w:val="22"/>
        </w:rPr>
      </w:pPr>
      <w:r>
        <w:rPr>
          <w:rFonts w:eastAsia="Arial" w:cs="Arial"/>
          <w:color w:val="404040"/>
          <w:sz w:val="22"/>
          <w:szCs w:val="22"/>
        </w:rPr>
        <w:t>O sistema deve permitir um cadastro único de usuário (pessoa física via CPF ou jurídica via CNPJ), gerenciando permissões de acesso por perfis de Organizador e Comprador de forma modular e acumulável. Um mesmo usuário pode deter ambos os perfis simultaneamente.</w:t>
      </w:r>
    </w:p>
    <w:p>
      <w:pPr>
        <w:pStyle w:val="Normal"/>
        <w:spacing w:before="60" w:after="60"/>
        <w:jc w:val="both"/>
        <w:rPr/>
      </w:pPr>
      <w:r>
        <w:rPr>
          <w:rFonts w:eastAsia="Arial" w:cs="Arial"/>
          <w:b/>
          <w:bCs/>
          <w:color w:val="404040"/>
          <w:sz w:val="22"/>
          <w:szCs w:val="22"/>
        </w:rPr>
        <w:t xml:space="preserve">Tabelas envolvidas: </w:t>
      </w:r>
      <w:r>
        <w:rPr>
          <w:rFonts w:eastAsia="Arial" w:cs="Arial"/>
          <w:color w:val="404040"/>
          <w:sz w:val="22"/>
          <w:szCs w:val="22"/>
        </w:rPr>
        <w:t>USU_usuario, PER_perfil, USP_usuario_perfil.</w:t>
      </w:r>
    </w:p>
    <w:p>
      <w:pPr>
        <w:pStyle w:val="Heading31"/>
        <w:rPr>
          <w:rFonts w:eastAsia="Arial" w:cs="Arial"/>
          <w:b/>
          <w:bCs/>
          <w:color w:val="404040"/>
          <w:sz w:val="24"/>
          <w:szCs w:val="24"/>
        </w:rPr>
      </w:pPr>
      <w:r>
        <w:rPr>
          <w:rFonts w:eastAsia="Arial" w:cs="Arial"/>
          <w:b/>
          <w:bCs/>
          <w:color w:val="404040"/>
          <w:sz w:val="24"/>
          <w:szCs w:val="24"/>
        </w:rPr>
        <w:t>RF02 — Manutenção de Eventos (CRUD Completo)</w:t>
      </w:r>
    </w:p>
    <w:p>
      <w:pPr>
        <w:pStyle w:val="Normal"/>
        <w:spacing w:before="60" w:after="60"/>
        <w:jc w:val="both"/>
        <w:rPr>
          <w:rFonts w:eastAsia="Arial" w:cs="Arial"/>
          <w:color w:val="404040"/>
          <w:sz w:val="22"/>
          <w:szCs w:val="22"/>
        </w:rPr>
      </w:pPr>
      <w:r>
        <w:rPr>
          <w:rFonts w:eastAsia="Arial" w:cs="Arial"/>
          <w:color w:val="404040"/>
          <w:sz w:val="22"/>
          <w:szCs w:val="22"/>
        </w:rPr>
        <w:t>O sistema deve permitir que um Organizador crie, atualize, visualize e exclua eventos do catálogo, estipulando metadados como nome, localização, data, hora, capacidade máxima do recinto, categoria e imagem de divulgação.</w:t>
      </w:r>
    </w:p>
    <w:p>
      <w:pPr>
        <w:pStyle w:val="Normal"/>
        <w:spacing w:before="60" w:after="60"/>
        <w:jc w:val="both"/>
        <w:rPr/>
      </w:pPr>
      <w:r>
        <w:rPr>
          <w:rFonts w:eastAsia="Arial" w:cs="Arial"/>
          <w:b/>
          <w:bCs/>
          <w:color w:val="404040"/>
          <w:sz w:val="22"/>
          <w:szCs w:val="22"/>
        </w:rPr>
        <w:t xml:space="preserve">Tabelas envolvidas: </w:t>
      </w:r>
      <w:r>
        <w:rPr>
          <w:rFonts w:eastAsia="Arial" w:cs="Arial"/>
          <w:color w:val="404040"/>
          <w:sz w:val="22"/>
          <w:szCs w:val="22"/>
        </w:rPr>
        <w:t>EVE_evento, CAT_categoria.</w:t>
      </w:r>
    </w:p>
    <w:p>
      <w:pPr>
        <w:pStyle w:val="Heading31"/>
        <w:rPr>
          <w:rFonts w:eastAsia="Arial" w:cs="Arial"/>
          <w:b/>
          <w:bCs/>
          <w:color w:val="404040"/>
          <w:sz w:val="24"/>
          <w:szCs w:val="24"/>
        </w:rPr>
      </w:pPr>
      <w:r>
        <w:rPr>
          <w:rFonts w:eastAsia="Arial" w:cs="Arial"/>
          <w:b/>
          <w:bCs/>
          <w:color w:val="404040"/>
          <w:sz w:val="24"/>
          <w:szCs w:val="24"/>
        </w:rPr>
        <w:t>RF03 — Engenharia de Lotes e Ingressos</w:t>
      </w:r>
    </w:p>
    <w:p>
      <w:pPr>
        <w:pStyle w:val="Normal"/>
        <w:spacing w:before="60" w:after="60"/>
        <w:jc w:val="both"/>
        <w:rPr>
          <w:rFonts w:eastAsia="Arial" w:cs="Arial"/>
          <w:color w:val="404040"/>
          <w:sz w:val="22"/>
          <w:szCs w:val="22"/>
        </w:rPr>
      </w:pPr>
      <w:r>
        <w:rPr>
          <w:rFonts w:eastAsia="Arial" w:cs="Arial"/>
          <w:color w:val="404040"/>
          <w:sz w:val="22"/>
          <w:szCs w:val="22"/>
        </w:rPr>
        <w:t>O sistema deve permitir o fracionamento de um evento em N tipos de ingresso distintos (ex: Lote 1 Inteira, Área VIP, Meia-Entrada), cada um com preço nominal, quantidade máxima do lote e nome descritivo independentes.</w:t>
      </w:r>
    </w:p>
    <w:p>
      <w:pPr>
        <w:pStyle w:val="Normal"/>
        <w:spacing w:before="60" w:after="60"/>
        <w:jc w:val="both"/>
        <w:rPr/>
      </w:pPr>
      <w:r>
        <w:rPr>
          <w:rFonts w:eastAsia="Arial" w:cs="Arial"/>
          <w:b/>
          <w:bCs/>
          <w:color w:val="404040"/>
          <w:sz w:val="22"/>
          <w:szCs w:val="22"/>
        </w:rPr>
        <w:t xml:space="preserve">Tabelas envolvidas: </w:t>
      </w:r>
      <w:r>
        <w:rPr>
          <w:rFonts w:eastAsia="Arial" w:cs="Arial"/>
          <w:color w:val="404040"/>
          <w:sz w:val="22"/>
          <w:szCs w:val="22"/>
        </w:rPr>
        <w:t>TPI_tipo_ingresso.</w:t>
      </w:r>
    </w:p>
    <w:p>
      <w:pPr>
        <w:pStyle w:val="Heading31"/>
        <w:rPr>
          <w:rFonts w:eastAsia="Arial" w:cs="Arial"/>
          <w:b/>
          <w:bCs/>
          <w:color w:val="404040"/>
          <w:sz w:val="24"/>
          <w:szCs w:val="24"/>
        </w:rPr>
      </w:pPr>
      <w:r>
        <w:rPr>
          <w:rFonts w:eastAsia="Arial" w:cs="Arial"/>
          <w:b/>
          <w:bCs/>
          <w:color w:val="404040"/>
          <w:sz w:val="24"/>
          <w:szCs w:val="24"/>
        </w:rPr>
        <w:t>RF04 — Processamento de Transação</w:t>
      </w:r>
    </w:p>
    <w:p>
      <w:pPr>
        <w:pStyle w:val="Normal"/>
        <w:spacing w:before="60" w:after="60"/>
        <w:jc w:val="both"/>
        <w:rPr>
          <w:rFonts w:eastAsia="Arial" w:cs="Arial"/>
          <w:color w:val="404040"/>
          <w:sz w:val="22"/>
          <w:szCs w:val="22"/>
        </w:rPr>
      </w:pPr>
      <w:r>
        <w:rPr>
          <w:rFonts w:eastAsia="Arial" w:cs="Arial"/>
          <w:color w:val="404040"/>
          <w:sz w:val="22"/>
          <w:szCs w:val="22"/>
        </w:rPr>
        <w:t>O sistema deve registrar a aquisição de ingressos em uma transação financeira centralizada, atrelada ao usuário comprador. Cada ingresso gerado dentro de uma transação recebe um código de acesso único (token alfanumérico) válido para uso na catraca ou portão do evento.</w:t>
      </w:r>
    </w:p>
    <w:p>
      <w:pPr>
        <w:pStyle w:val="Normal"/>
        <w:spacing w:before="60" w:after="60"/>
        <w:jc w:val="both"/>
        <w:rPr/>
      </w:pPr>
      <w:r>
        <w:rPr>
          <w:rFonts w:eastAsia="Arial" w:cs="Arial"/>
          <w:b/>
          <w:bCs/>
          <w:color w:val="404040"/>
          <w:sz w:val="22"/>
          <w:szCs w:val="22"/>
        </w:rPr>
        <w:t xml:space="preserve">Tabelas envolvidas: </w:t>
      </w:r>
      <w:r>
        <w:rPr>
          <w:rFonts w:eastAsia="Arial" w:cs="Arial"/>
          <w:color w:val="404040"/>
          <w:sz w:val="22"/>
          <w:szCs w:val="22"/>
        </w:rPr>
        <w:t>TRA_transacao, ING_ingresso.</w:t>
      </w:r>
    </w:p>
    <w:p>
      <w:pPr>
        <w:pStyle w:val="Heading31"/>
        <w:rPr>
          <w:rFonts w:eastAsia="Arial" w:cs="Arial"/>
          <w:b/>
          <w:bCs/>
          <w:color w:val="404040"/>
          <w:sz w:val="24"/>
          <w:szCs w:val="24"/>
        </w:rPr>
      </w:pPr>
      <w:r>
        <w:rPr>
          <w:rFonts w:eastAsia="Arial" w:cs="Arial"/>
          <w:b/>
          <w:bCs/>
          <w:color w:val="404040"/>
          <w:sz w:val="24"/>
          <w:szCs w:val="24"/>
        </w:rPr>
        <w:t>RF05 — Trava de Lotação e Capacidade (Anti-Overbooking)</w:t>
      </w:r>
    </w:p>
    <w:p>
      <w:pPr>
        <w:pStyle w:val="Normal"/>
        <w:spacing w:before="60" w:after="60"/>
        <w:jc w:val="both"/>
        <w:rPr>
          <w:rFonts w:eastAsia="Arial" w:cs="Arial"/>
          <w:color w:val="404040"/>
          <w:sz w:val="22"/>
          <w:szCs w:val="22"/>
        </w:rPr>
      </w:pPr>
      <w:r>
        <w:rPr>
          <w:rFonts w:eastAsia="Arial" w:cs="Arial"/>
          <w:color w:val="404040"/>
          <w:sz w:val="22"/>
          <w:szCs w:val="22"/>
        </w:rPr>
        <w:t>O sistema deve bloquear obrigatoriamente a emissão de qualquer ingresso quando: (a) a capacidade total do evento for atingida, ou (b) a quantidade máxima do lote específico for atingida. Esta regra é implementada no nível do SGBD e não pode ser contornada pela aplicação Java.</w:t>
      </w:r>
    </w:p>
    <w:p>
      <w:pPr>
        <w:pStyle w:val="Normal"/>
        <w:spacing w:before="60" w:after="60"/>
        <w:jc w:val="both"/>
        <w:rPr/>
      </w:pPr>
      <w:r>
        <w:rPr>
          <w:rFonts w:eastAsia="Arial" w:cs="Arial"/>
          <w:b/>
          <w:bCs/>
          <w:color w:val="404040"/>
          <w:sz w:val="22"/>
          <w:szCs w:val="22"/>
        </w:rPr>
        <w:t xml:space="preserve">Implementação: </w:t>
      </w:r>
      <w:r>
        <w:rPr>
          <w:rFonts w:eastAsia="Arial" w:cs="Arial"/>
          <w:color w:val="404040"/>
          <w:sz w:val="22"/>
          <w:szCs w:val="22"/>
        </w:rPr>
        <w:t>Trigger TR_validar_lotacao + Function FN_TG_validar_venda + Function FN_calcular_capacidade_restante.</w:t>
      </w:r>
    </w:p>
    <w:p>
      <w:pPr>
        <w:pStyle w:val="Heading31"/>
        <w:rPr>
          <w:rFonts w:eastAsia="Arial" w:cs="Arial"/>
          <w:b/>
          <w:bCs/>
          <w:color w:val="404040"/>
          <w:sz w:val="24"/>
          <w:szCs w:val="24"/>
        </w:rPr>
      </w:pPr>
      <w:r>
        <w:rPr>
          <w:rFonts w:eastAsia="Arial" w:cs="Arial"/>
          <w:b/>
          <w:bCs/>
          <w:color w:val="404040"/>
          <w:sz w:val="24"/>
          <w:szCs w:val="24"/>
        </w:rPr>
        <w:t>RF06 — Janela de Estorno e Cancelamento</w:t>
      </w:r>
    </w:p>
    <w:p>
      <w:pPr>
        <w:pStyle w:val="Normal"/>
        <w:spacing w:before="60" w:after="60"/>
        <w:jc w:val="both"/>
        <w:rPr>
          <w:rFonts w:eastAsia="Arial" w:cs="Arial"/>
          <w:color w:val="404040"/>
          <w:sz w:val="22"/>
          <w:szCs w:val="22"/>
        </w:rPr>
      </w:pPr>
      <w:r>
        <w:rPr>
          <w:rFonts w:eastAsia="Arial" w:cs="Arial"/>
          <w:color w:val="404040"/>
          <w:sz w:val="22"/>
          <w:szCs w:val="22"/>
        </w:rPr>
        <w:t>O sistema deve permitir o cancelamento lógico de transações e a invalidação em cascata de seus ingressos, exclusivamente quando: (a) a requisição for processada antes do timestamp de início do evento, e (b) nenhum ingresso da transação tiver sido utilizado (status 'U'). O cancelamento altera o status da transação para 'X' e todos os ingressos vinculados para 'C'.</w:t>
      </w:r>
    </w:p>
    <w:p>
      <w:pPr>
        <w:pStyle w:val="Normal"/>
        <w:spacing w:before="60" w:after="60"/>
        <w:jc w:val="both"/>
        <w:rPr/>
      </w:pPr>
      <w:r>
        <w:rPr>
          <w:rFonts w:eastAsia="Arial" w:cs="Arial"/>
          <w:b/>
          <w:bCs/>
          <w:color w:val="404040"/>
          <w:sz w:val="22"/>
          <w:szCs w:val="22"/>
        </w:rPr>
        <w:t xml:space="preserve">Implementação: </w:t>
      </w:r>
      <w:r>
        <w:rPr>
          <w:rFonts w:eastAsia="Arial" w:cs="Arial"/>
          <w:color w:val="404040"/>
          <w:sz w:val="22"/>
          <w:szCs w:val="22"/>
        </w:rPr>
        <w:t>Procedure PR_cancelar_transacao.</w:t>
      </w:r>
    </w:p>
    <w:p>
      <w:pPr>
        <w:pStyle w:val="Heading31"/>
        <w:rPr>
          <w:rFonts w:eastAsia="Arial" w:cs="Arial"/>
          <w:b/>
          <w:bCs/>
          <w:color w:val="404040"/>
          <w:sz w:val="24"/>
          <w:szCs w:val="24"/>
        </w:rPr>
      </w:pPr>
      <w:r>
        <w:rPr>
          <w:rFonts w:eastAsia="Arial" w:cs="Arial"/>
          <w:b/>
          <w:bCs/>
          <w:color w:val="404040"/>
          <w:sz w:val="24"/>
          <w:szCs w:val="24"/>
        </w:rPr>
        <w:t>RF07 — Gerenciamento de Webhooks</w:t>
      </w:r>
    </w:p>
    <w:p>
      <w:pPr>
        <w:pStyle w:val="Normal"/>
        <w:spacing w:before="60" w:after="60"/>
        <w:jc w:val="both"/>
        <w:rPr>
          <w:rFonts w:eastAsia="Arial" w:cs="Arial"/>
          <w:color w:val="404040"/>
          <w:sz w:val="22"/>
          <w:szCs w:val="22"/>
        </w:rPr>
      </w:pPr>
      <w:r>
        <w:rPr>
          <w:rFonts w:eastAsia="Arial" w:cs="Arial"/>
          <w:color w:val="404040"/>
          <w:sz w:val="22"/>
          <w:szCs w:val="22"/>
        </w:rPr>
        <w:t>O sistema deve permitir que usuários cadastrem URLs externas para receber notificações assíncronas de eventos do sistema (ex: COMPRA_APROVADA, INGRESSO_CANCELADO), com possibilidade de ativação e desativação individual de cada webhook.</w:t>
      </w:r>
    </w:p>
    <w:p>
      <w:pPr>
        <w:pStyle w:val="Normal"/>
        <w:spacing w:before="60" w:after="60"/>
        <w:jc w:val="both"/>
        <w:rPr/>
      </w:pPr>
      <w:r>
        <w:rPr>
          <w:rFonts w:eastAsia="Arial" w:cs="Arial"/>
          <w:b/>
          <w:bCs/>
          <w:color w:val="404040"/>
          <w:sz w:val="22"/>
          <w:szCs w:val="22"/>
        </w:rPr>
        <w:t xml:space="preserve">Tabelas envolvidas: </w:t>
      </w:r>
      <w:r>
        <w:rPr>
          <w:rFonts w:eastAsia="Arial" w:cs="Arial"/>
          <w:color w:val="404040"/>
          <w:sz w:val="22"/>
          <w:szCs w:val="22"/>
        </w:rPr>
        <w:t>WEB_webhook.</w:t>
      </w:r>
    </w:p>
    <w:p>
      <w:pPr>
        <w:pStyle w:val="Heading21"/>
        <w:rPr>
          <w:rFonts w:ascii="Arial" w:hAnsi="Arial" w:eastAsia="Arial" w:cs="Arial"/>
          <w:b/>
          <w:bCs/>
          <w:color w:val="2E75B6"/>
          <w:sz w:val="28"/>
          <w:szCs w:val="28"/>
        </w:rPr>
      </w:pPr>
      <w:r>
        <w:rPr>
          <w:rFonts w:eastAsia="Arial" w:cs="Arial"/>
          <w:b/>
          <w:bCs/>
          <w:color w:val="2E75B6"/>
          <w:sz w:val="28"/>
          <w:szCs w:val="28"/>
        </w:rPr>
        <w:t>2.2 Requisitos Não Funcionais</w:t>
      </w:r>
    </w:p>
    <w:p>
      <w:pPr>
        <w:pStyle w:val="Heading31"/>
        <w:rPr>
          <w:rFonts w:eastAsia="Arial" w:cs="Arial"/>
          <w:b/>
          <w:bCs/>
          <w:color w:val="404040"/>
          <w:sz w:val="24"/>
          <w:szCs w:val="24"/>
        </w:rPr>
      </w:pPr>
      <w:r>
        <w:rPr>
          <w:rFonts w:eastAsia="Arial" w:cs="Arial"/>
          <w:b/>
          <w:bCs/>
          <w:color w:val="404040"/>
          <w:sz w:val="24"/>
          <w:szCs w:val="24"/>
        </w:rPr>
        <w:t>RNF01 — Stack Tecnológica</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Back-end: Java com API JDBC para toda comunicação e execução de comandos SQL.</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Banco de Dados: PostgreSQL com objetos PL/pgSQL (Functions, Procedures, Triggers, Views).</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Front-end: Angular (consumo da API Java).</w:t>
      </w:r>
    </w:p>
    <w:p>
      <w:pPr>
        <w:pStyle w:val="Heading31"/>
        <w:rPr>
          <w:rFonts w:ascii="Arial" w:hAnsi="Arial" w:eastAsia="Arial" w:cs="Arial"/>
          <w:b/>
          <w:bCs/>
          <w:color w:val="404040"/>
          <w:sz w:val="24"/>
          <w:szCs w:val="24"/>
        </w:rPr>
      </w:pPr>
      <w:r>
        <w:rPr>
          <w:rFonts w:eastAsia="Arial" w:cs="Arial"/>
          <w:b/>
          <w:bCs/>
          <w:color w:val="404040"/>
          <w:sz w:val="24"/>
          <w:szCs w:val="24"/>
        </w:rPr>
        <w:t>RNF02 — Padrões de Nomenclatura</w:t>
      </w:r>
    </w:p>
    <w:p>
      <w:pPr>
        <w:pStyle w:val="Normal"/>
        <w:spacing w:before="60" w:after="60"/>
        <w:jc w:val="both"/>
        <w:rPr>
          <w:rFonts w:eastAsia="Arial" w:cs="Arial"/>
          <w:color w:val="404040"/>
          <w:sz w:val="22"/>
          <w:szCs w:val="22"/>
        </w:rPr>
      </w:pPr>
      <w:r>
        <w:rPr>
          <w:rFonts w:eastAsia="Arial" w:cs="Arial"/>
          <w:color w:val="404040"/>
          <w:sz w:val="22"/>
          <w:szCs w:val="22"/>
        </w:rPr>
        <w:t>Todas as entidades do banco de dados adotam nomenclatura padronizada com prefixos de três letras maiúsculas seguidas de underline, refletindo a natureza da entidade. Os atributos seguem uma convenção de siglas de dois caracteres que indica o tipo semântico do dado.</w:t>
      </w:r>
    </w:p>
    <w:p>
      <w:pPr>
        <w:pStyle w:val="Heading31"/>
        <w:rPr>
          <w:rFonts w:eastAsia="Arial" w:cs="Arial"/>
          <w:b/>
          <w:bCs/>
          <w:color w:val="404040"/>
          <w:sz w:val="24"/>
          <w:szCs w:val="24"/>
        </w:rPr>
      </w:pPr>
      <w:r>
        <w:rPr>
          <w:rFonts w:eastAsia="Arial" w:cs="Arial"/>
          <w:b/>
          <w:bCs/>
          <w:color w:val="404040"/>
          <w:sz w:val="24"/>
          <w:szCs w:val="24"/>
        </w:rPr>
        <w:t>RNF03 — Escalabilidade de Identificadores</w:t>
      </w:r>
    </w:p>
    <w:p>
      <w:pPr>
        <w:pStyle w:val="Normal"/>
        <w:spacing w:before="60" w:after="60"/>
        <w:jc w:val="both"/>
        <w:rPr>
          <w:rFonts w:eastAsia="Arial" w:cs="Arial"/>
          <w:color w:val="404040"/>
          <w:sz w:val="22"/>
          <w:szCs w:val="22"/>
        </w:rPr>
      </w:pPr>
      <w:r>
        <w:rPr>
          <w:rFonts w:eastAsia="Arial" w:cs="Arial"/>
          <w:color w:val="404040"/>
          <w:sz w:val="22"/>
          <w:szCs w:val="22"/>
        </w:rPr>
        <w:t>Todas as chaves primárias e estrangeiras são do tipo BIGINT (64 bits), configuradas com GENERATED BY DEFAULT AS IDENTITY com início em 1.000.000.001. Esta decisão garante espaço para bilhões de registros e facilita a identificação visual de IDs reais versus dados de teste.</w:t>
      </w:r>
    </w:p>
    <w:p>
      <w:pPr>
        <w:pStyle w:val="Heading31"/>
        <w:rPr>
          <w:rFonts w:eastAsia="Arial" w:cs="Arial"/>
          <w:b/>
          <w:bCs/>
          <w:color w:val="404040"/>
          <w:sz w:val="24"/>
          <w:szCs w:val="24"/>
        </w:rPr>
      </w:pPr>
      <w:r>
        <w:rPr>
          <w:rFonts w:eastAsia="Arial" w:cs="Arial"/>
          <w:b/>
          <w:bCs/>
          <w:color w:val="404040"/>
          <w:sz w:val="24"/>
          <w:szCs w:val="24"/>
        </w:rPr>
        <w:t>RNF04 — Processamento de Regras no SGBD</w:t>
      </w:r>
    </w:p>
    <w:p>
      <w:pPr>
        <w:pStyle w:val="Normal"/>
        <w:spacing w:before="60" w:after="60"/>
        <w:jc w:val="both"/>
        <w:rPr>
          <w:rFonts w:eastAsia="Arial" w:cs="Arial"/>
          <w:color w:val="404040"/>
          <w:sz w:val="22"/>
          <w:szCs w:val="22"/>
        </w:rPr>
      </w:pPr>
      <w:r>
        <w:rPr>
          <w:rFonts w:eastAsia="Arial" w:cs="Arial"/>
          <w:color w:val="404040"/>
          <w:sz w:val="22"/>
          <w:szCs w:val="22"/>
        </w:rPr>
        <w:t>As regras de negócio críticas — overbooking, cancelamento, cálculo de capacidade — são implementadas exclusivamente no banco de dados, garantindo que nenhum caminho de acesso (Java, psql direto, ferramenta de BI) consiga violar a integridade dos dados.</w:t>
      </w:r>
    </w:p>
    <w:p>
      <w:pPr>
        <w:pStyle w:val="Heading31"/>
        <w:rPr>
          <w:rFonts w:eastAsia="Arial" w:cs="Arial"/>
          <w:b/>
          <w:bCs/>
          <w:color w:val="404040"/>
          <w:sz w:val="24"/>
          <w:szCs w:val="24"/>
        </w:rPr>
      </w:pPr>
      <w:r>
        <w:rPr>
          <w:rFonts w:eastAsia="Arial" w:cs="Arial"/>
          <w:b/>
          <w:bCs/>
          <w:color w:val="404040"/>
          <w:sz w:val="24"/>
          <w:szCs w:val="24"/>
        </w:rPr>
        <w:t>RNF05 — Complexidade de Consultas</w:t>
      </w:r>
    </w:p>
    <w:p>
      <w:pPr>
        <w:pStyle w:val="Normal"/>
        <w:spacing w:before="60" w:after="60"/>
        <w:jc w:val="both"/>
        <w:rPr>
          <w:rFonts w:eastAsia="Arial" w:cs="Arial"/>
          <w:color w:val="404040"/>
          <w:sz w:val="22"/>
          <w:szCs w:val="22"/>
        </w:rPr>
      </w:pPr>
      <w:r>
        <w:rPr>
          <w:rFonts w:eastAsia="Arial" w:cs="Arial"/>
          <w:color w:val="404040"/>
          <w:sz w:val="22"/>
          <w:szCs w:val="22"/>
        </w:rPr>
        <w:t>As listagens de dados da aplicação devem utilizar JOINs explícitos entre tabelas. O sistema possui no mínimo três consultas SELECT distintas com JOIN, cobrindo: histórico de compras por usuário, painel do organizador por evento, e relatório de ingressos com validação.</w:t>
      </w:r>
    </w:p>
    <w:p>
      <w:pPr>
        <w:pStyle w:val="Heading31"/>
        <w:rPr>
          <w:rFonts w:eastAsia="Arial" w:cs="Arial"/>
          <w:b/>
          <w:bCs/>
          <w:color w:val="404040"/>
          <w:sz w:val="24"/>
          <w:szCs w:val="24"/>
        </w:rPr>
      </w:pPr>
      <w:r>
        <w:rPr>
          <w:rFonts w:eastAsia="Arial" w:cs="Arial"/>
          <w:b/>
          <w:bCs/>
          <w:color w:val="404040"/>
          <w:sz w:val="24"/>
          <w:szCs w:val="24"/>
        </w:rPr>
        <w:t>RNF06 — Metodologia de Desenvolvimento</w:t>
      </w:r>
    </w:p>
    <w:p>
      <w:pPr>
        <w:pStyle w:val="Normal"/>
        <w:spacing w:before="60" w:after="60"/>
        <w:jc w:val="both"/>
        <w:rPr>
          <w:rFonts w:eastAsia="Arial" w:cs="Arial"/>
          <w:color w:val="404040"/>
          <w:sz w:val="22"/>
          <w:szCs w:val="22"/>
        </w:rPr>
      </w:pPr>
      <w:r>
        <w:rPr>
          <w:rFonts w:eastAsia="Arial" w:cs="Arial"/>
          <w:color w:val="404040"/>
          <w:sz w:val="22"/>
          <w:szCs w:val="22"/>
        </w:rPr>
        <w:t>O ciclo de vida do projeto segue o framework Scrum, com sprints semanais, divisão de responsabilidades entre os membros da dupla e entregas incrementais verificáveis</w:t>
      </w:r>
      <w:r>
        <w:br w:type="page"/>
      </w:r>
    </w:p>
    <w:p>
      <w:pPr>
        <w:pStyle w:val="Heading11"/>
        <w:spacing w:before="0" w:after="0"/>
        <w:rPr>
          <w:rFonts w:eastAsia="Arial" w:cs="Arial"/>
          <w:b/>
          <w:bCs/>
          <w:color w:val="1F4E79"/>
          <w:sz w:val="36"/>
          <w:szCs w:val="36"/>
        </w:rPr>
      </w:pPr>
      <w:r>
        <w:rPr>
          <w:rFonts w:eastAsia="Arial" w:cs="Arial"/>
          <w:b/>
          <w:bCs/>
          <w:color w:val="1F4E79"/>
          <w:sz w:val="36"/>
          <w:szCs w:val="36"/>
        </w:rPr>
        <w:t>3. Regras de Negócio</w:t>
      </w:r>
    </w:p>
    <w:p>
      <w:pPr>
        <w:pStyle w:val="Normal"/>
        <w:spacing w:before="60" w:after="60"/>
        <w:jc w:val="both"/>
        <w:rPr>
          <w:rFonts w:eastAsia="Arial" w:cs="Arial"/>
          <w:color w:val="404040"/>
          <w:sz w:val="22"/>
          <w:szCs w:val="22"/>
        </w:rPr>
      </w:pPr>
      <w:r>
        <w:rPr>
          <w:rFonts w:eastAsia="Arial" w:cs="Arial"/>
          <w:color w:val="404040"/>
          <w:sz w:val="22"/>
          <w:szCs w:val="22"/>
        </w:rPr>
        <w:t>As regras de negócio do TicketCore são implementadas diretamente no SGBD, garantindo integridade independentemente da camada de aplicação. A tabela abaixo mapeia cada regra à sua implementação técnica:</w:t>
      </w:r>
    </w:p>
    <w:p>
      <w:pPr>
        <w:pStyle w:val="Normal"/>
        <w:spacing w:before="60" w:after="60"/>
        <w:rPr/>
      </w:pPr>
      <w:r>
        <w:rPr/>
      </w:r>
    </w:p>
    <w:tbl>
      <w:tblPr>
        <w:tblW w:w="9638" w:type="dxa"/>
        <w:jc w:val="start"/>
        <w:tblInd w:w="0" w:type="dxa"/>
        <w:tblLayout w:type="fixed"/>
        <w:tblCellMar>
          <w:top w:w="80" w:type="dxa"/>
          <w:start w:w="120" w:type="dxa"/>
          <w:bottom w:w="80" w:type="dxa"/>
          <w:end w:w="120" w:type="dxa"/>
        </w:tblCellMar>
      </w:tblPr>
      <w:tblGrid>
        <w:gridCol w:w="500"/>
        <w:gridCol w:w="2196"/>
        <w:gridCol w:w="3204"/>
        <w:gridCol w:w="3738"/>
      </w:tblGrid>
      <w:tr>
        <w:trPr>
          <w:tblHeader w:val="true"/>
        </w:trPr>
        <w:tc>
          <w:tcPr>
            <w:tcW w:w="5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w:t>
            </w:r>
          </w:p>
        </w:tc>
        <w:tc>
          <w:tcPr>
            <w:tcW w:w="21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Regra</w:t>
            </w:r>
          </w:p>
        </w:tc>
        <w:tc>
          <w:tcPr>
            <w:tcW w:w="3204"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Descrição</w:t>
            </w:r>
          </w:p>
        </w:tc>
        <w:tc>
          <w:tcPr>
            <w:tcW w:w="373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Implementação no Banco</w:t>
            </w:r>
          </w:p>
        </w:tc>
      </w:tr>
      <w:tr>
        <w:trPr/>
        <w:tc>
          <w:tcPr>
            <w:tcW w:w="5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RN01</w:t>
            </w:r>
          </w:p>
        </w:tc>
        <w:tc>
          <w:tcPr>
            <w:tcW w:w="21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Bloqueio de Overbooking por Evento</w:t>
            </w:r>
          </w:p>
        </w:tc>
        <w:tc>
          <w:tcPr>
            <w:tcW w:w="3204"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Nenhum ingresso pode ser emitido se a quantidade de ingressos ativos (status A ou U) igualar ou superar a capacidade total cadastrada no evento (eve_qt_capacidade).</w:t>
            </w:r>
          </w:p>
        </w:tc>
        <w:tc>
          <w:tcPr>
            <w:tcW w:w="37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Trigger TR_validar_lotacao + FN_TG_validar_venda + FN_calcular_capacidade_restante</w:t>
            </w:r>
          </w:p>
        </w:tc>
      </w:tr>
      <w:tr>
        <w:trPr/>
        <w:tc>
          <w:tcPr>
            <w:tcW w:w="5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RN02</w:t>
            </w:r>
          </w:p>
        </w:tc>
        <w:tc>
          <w:tcPr>
            <w:tcW w:w="21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Bloqueio de Overbooking por Lote</w:t>
            </w:r>
          </w:p>
        </w:tc>
        <w:tc>
          <w:tcPr>
            <w:tcW w:w="3204"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Nenhum ingresso pode ser emitido para um lote específico se a quantidade de ingressos ativos daquele lote igualar ou superar o limite do lote (tpi_qt_lote).</w:t>
            </w:r>
          </w:p>
        </w:tc>
        <w:tc>
          <w:tcPr>
            <w:tcW w:w="37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Trigger TR_validar_lotacao + validação da contagem por ing_id_tipo_ingresso</w:t>
            </w:r>
          </w:p>
        </w:tc>
      </w:tr>
      <w:tr>
        <w:trPr/>
        <w:tc>
          <w:tcPr>
            <w:tcW w:w="5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RN03</w:t>
            </w:r>
          </w:p>
        </w:tc>
        <w:tc>
          <w:tcPr>
            <w:tcW w:w="21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Cancelamento Temporalmente Restrito</w:t>
            </w:r>
          </w:p>
        </w:tc>
        <w:tc>
          <w:tcPr>
            <w:tcW w:w="3204"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O cancelamento de uma transação só é permitido se a data/hora atual for anterior ao timestamp de início do evento associado aos ingressos.</w:t>
            </w:r>
          </w:p>
        </w:tc>
        <w:tc>
          <w:tcPr>
            <w:tcW w:w="37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Procedure PR_cancelar_transacao — Validação 4</w:t>
            </w:r>
          </w:p>
        </w:tc>
      </w:tr>
      <w:tr>
        <w:trPr/>
        <w:tc>
          <w:tcPr>
            <w:tcW w:w="5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RN04</w:t>
            </w:r>
          </w:p>
        </w:tc>
        <w:tc>
          <w:tcPr>
            <w:tcW w:w="21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Proteção de Ingresso Utilizado</w:t>
            </w:r>
          </w:p>
        </w:tc>
        <w:tc>
          <w:tcPr>
            <w:tcW w:w="3204"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Uma transação não pode ser cancelada se qualquer um de seus ingressos já tiver sido utilizado no evento (status U). Um ingresso utilizado é irrevogável.</w:t>
            </w:r>
          </w:p>
        </w:tc>
        <w:tc>
          <w:tcPr>
            <w:tcW w:w="37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Procedure PR_cancelar_transacao — Validação 3</w:t>
            </w:r>
          </w:p>
        </w:tc>
      </w:tr>
      <w:tr>
        <w:trPr/>
        <w:tc>
          <w:tcPr>
            <w:tcW w:w="5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RN05</w:t>
            </w:r>
          </w:p>
        </w:tc>
        <w:tc>
          <w:tcPr>
            <w:tcW w:w="21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Titularidade da Transação</w:t>
            </w:r>
          </w:p>
        </w:tc>
        <w:tc>
          <w:tcPr>
            <w:tcW w:w="3204"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Apenas o comprador titular de uma transação pode solicitar seu cancelamento. A Procedure valida a correspondência entre o ID do solicitante e o ID do comprador registrado.</w:t>
            </w:r>
          </w:p>
        </w:tc>
        <w:tc>
          <w:tcPr>
            <w:tcW w:w="37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Procedure PR_cancelar_transacao — Validação 2</w:t>
            </w:r>
          </w:p>
        </w:tc>
      </w:tr>
      <w:tr>
        <w:trPr/>
        <w:tc>
          <w:tcPr>
            <w:tcW w:w="5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RN06</w:t>
            </w:r>
          </w:p>
        </w:tc>
        <w:tc>
          <w:tcPr>
            <w:tcW w:w="21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Unicidade do Código de Acesso</w:t>
            </w:r>
          </w:p>
        </w:tc>
        <w:tc>
          <w:tcPr>
            <w:tcW w:w="3204"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Cada ingresso possui um código de acesso único (ing_cd_acesso) no escopo global do sistema, impedindo a duplicação de tokens de entrada.</w:t>
            </w:r>
          </w:p>
        </w:tc>
        <w:tc>
          <w:tcPr>
            <w:tcW w:w="37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Constraint UNIQUE em ING_ingresso.ing_cd_acesso</w:t>
            </w:r>
          </w:p>
        </w:tc>
      </w:tr>
      <w:tr>
        <w:trPr/>
        <w:tc>
          <w:tcPr>
            <w:tcW w:w="5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RN07</w:t>
            </w:r>
          </w:p>
        </w:tc>
        <w:tc>
          <w:tcPr>
            <w:tcW w:w="21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Preço não negativo</w:t>
            </w:r>
          </w:p>
        </w:tc>
        <w:tc>
          <w:tcPr>
            <w:tcW w:w="3204"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O valor de um ingresso (tpi_vl_preco) não pode ser negativo. Valores zero são permitidos para representar cortesias.</w:t>
            </w:r>
          </w:p>
        </w:tc>
        <w:tc>
          <w:tcPr>
            <w:tcW w:w="37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Constraint CHECK tpi_vl_preco &gt;= 0</w:t>
            </w:r>
          </w:p>
        </w:tc>
      </w:tr>
      <w:tr>
        <w:trPr/>
        <w:tc>
          <w:tcPr>
            <w:tcW w:w="5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RN08</w:t>
            </w:r>
          </w:p>
        </w:tc>
        <w:tc>
          <w:tcPr>
            <w:tcW w:w="21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Transação nasce como Pendente</w:t>
            </w:r>
          </w:p>
        </w:tc>
        <w:tc>
          <w:tcPr>
            <w:tcW w:w="3204"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Toda nova transação inicia com status 'P' (Pendente), aguardando confirmação de pagamento. O sistema não pode registrar uma transação diretamente como Concluída.</w:t>
            </w:r>
          </w:p>
        </w:tc>
        <w:tc>
          <w:tcPr>
            <w:tcW w:w="37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Constraint DEFAULT 'P' em TRA_transacao.tra_st_transacao</w:t>
            </w:r>
          </w:p>
        </w:tc>
      </w:tr>
    </w:tbl>
    <w:p>
      <w:pPr>
        <w:pStyle w:val="Normal"/>
        <w:spacing w:before="60" w:after="60"/>
        <w:rPr/>
      </w:pPr>
      <w:r>
        <w:rPr/>
      </w:r>
      <w:r>
        <w:br w:type="page"/>
      </w:r>
    </w:p>
    <w:p>
      <w:pPr>
        <w:pStyle w:val="Heading11"/>
        <w:spacing w:before="0" w:after="0"/>
        <w:rPr>
          <w:rFonts w:eastAsia="Arial" w:cs="Arial"/>
          <w:b/>
          <w:bCs/>
          <w:color w:val="1F4E79"/>
          <w:sz w:val="36"/>
          <w:szCs w:val="36"/>
        </w:rPr>
      </w:pPr>
      <w:r>
        <w:rPr>
          <w:rFonts w:eastAsia="Arial" w:cs="Arial"/>
          <w:b/>
          <w:bCs/>
          <w:color w:val="1F4E79"/>
          <w:sz w:val="36"/>
          <w:szCs w:val="36"/>
        </w:rPr>
        <w:t>4. Banco de Dados</w:t>
      </w:r>
    </w:p>
    <w:p>
      <w:pPr>
        <w:pStyle w:val="Heading21"/>
        <w:rPr>
          <w:rFonts w:eastAsia="Arial" w:cs="Arial"/>
          <w:b/>
          <w:bCs/>
          <w:color w:val="2E75B6"/>
          <w:sz w:val="28"/>
          <w:szCs w:val="28"/>
        </w:rPr>
      </w:pPr>
      <w:r>
        <w:rPr>
          <w:rFonts w:eastAsia="Arial" w:cs="Arial"/>
          <w:b/>
          <w:bCs/>
          <w:color w:val="2E75B6"/>
          <w:sz w:val="28"/>
          <w:szCs w:val="28"/>
        </w:rPr>
        <w:t>4.1 Modelo de Dados — Diagrama Entidade-Relacionamento</w:t>
      </w:r>
    </w:p>
    <w:p>
      <w:pPr>
        <w:pStyle w:val="Normal"/>
        <w:spacing w:before="60" w:after="60"/>
        <w:jc w:val="both"/>
        <w:rPr>
          <w:rFonts w:eastAsia="Arial" w:cs="Arial"/>
          <w:color w:val="404040"/>
          <w:sz w:val="22"/>
          <w:szCs w:val="22"/>
        </w:rPr>
      </w:pPr>
      <w:r>
        <w:rPr>
          <w:rFonts w:eastAsia="Arial" w:cs="Arial"/>
          <w:color w:val="404040"/>
          <w:sz w:val="22"/>
          <w:szCs w:val="22"/>
        </w:rPr>
        <w:t>O modelo relacional do TicketCore é composto por 9 entidades. As cardinalidades dos relacionamentos são:</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USU_usuario (1) ————— (N) EVE_evento: Um usuário pode organizar N eventos.</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USU_usuario (N) ————— (M) PER_perfil: Resolvido pela tabela associativa USP_usuario_perfil.</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CAT_categoria (1) ————— (N) EVE_evento: Um evento pertence a uma categoria.</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EVE_evento (1) ————— (N) TPI_tipo_ingresso: Um evento possui N tipos/lotes de ingresso.</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USU_usuario (1) ————— (N) TRA_transacao: Um usuário pode ter N transações.</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TRA_transacao (1) ————— (N) ING_ingresso: Uma transação emite N ingressos.</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TPI_tipo_ingresso (1) ————— (N) ING_ingresso: Um tipo de ingresso é referenciado por N ingressos emitidos.</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USU_usuario (1) ————— (N) WEB_webhook: Um usuário pode cadastrar N webhooks.</w:t>
      </w:r>
    </w:p>
    <w:p>
      <w:pPr>
        <w:pStyle w:val="Normal"/>
        <w:spacing w:before="60" w:after="60"/>
        <w:rPr/>
      </w:pPr>
      <w:r>
        <w:rPr/>
      </w:r>
    </w:p>
    <w:p>
      <w:pPr>
        <w:pStyle w:val="Heading21"/>
        <w:rPr>
          <w:rFonts w:eastAsia="Arial" w:cs="Arial"/>
          <w:b/>
          <w:bCs/>
          <w:color w:val="2E75B6"/>
          <w:sz w:val="28"/>
          <w:szCs w:val="28"/>
        </w:rPr>
      </w:pPr>
      <w:r>
        <w:rPr>
          <w:rFonts w:eastAsia="Arial" w:cs="Arial"/>
          <w:b/>
          <w:bCs/>
          <w:color w:val="2E75B6"/>
          <w:sz w:val="28"/>
          <w:szCs w:val="28"/>
        </w:rPr>
        <w:t>4.1.</w:t>
      </w:r>
      <w:r>
        <w:rPr>
          <w:rFonts w:eastAsia="Arial" w:cs="Arial"/>
          <w:b/>
          <w:bCs/>
          <w:color w:val="2E75B6"/>
          <w:sz w:val="28"/>
          <w:szCs w:val="28"/>
        </w:rPr>
        <w:t>1</w:t>
      </w:r>
      <w:r>
        <w:rPr>
          <w:rFonts w:eastAsia="Arial" w:cs="Arial"/>
          <w:b/>
          <w:bCs/>
          <w:color w:val="2E75B6"/>
          <w:sz w:val="28"/>
          <w:szCs w:val="28"/>
        </w:rPr>
        <w:t xml:space="preserve"> </w:t>
      </w:r>
      <w:r>
        <w:rPr>
          <w:rFonts w:eastAsia="Arial" w:cs="Arial"/>
          <w:b/>
          <w:bCs/>
          <w:color w:val="2E75B6"/>
          <w:sz w:val="28"/>
          <w:szCs w:val="28"/>
        </w:rPr>
        <w:t>Modelo Conceitual:</w:t>
      </w:r>
    </w:p>
    <w:p>
      <w:pPr>
        <w:pStyle w:val="Normal"/>
        <w:spacing w:before="60" w:after="60"/>
        <w:rPr/>
      </w:pPr>
      <w:r>
        <w:rPr/>
      </w:r>
    </w:p>
    <w:p>
      <w:pPr>
        <w:pStyle w:val="Normal"/>
        <w:spacing w:before="60" w:after="60"/>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845935" cy="461454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2"/>
                    <a:stretch>
                      <a:fillRect/>
                    </a:stretch>
                  </pic:blipFill>
                  <pic:spPr bwMode="auto">
                    <a:xfrm>
                      <a:off x="0" y="0"/>
                      <a:ext cx="6845935" cy="4614545"/>
                    </a:xfrm>
                    <a:prstGeom prst="rect">
                      <a:avLst/>
                    </a:prstGeom>
                    <a:noFill/>
                  </pic:spPr>
                </pic:pic>
              </a:graphicData>
            </a:graphic>
          </wp:anchor>
        </w:drawing>
      </w:r>
    </w:p>
    <w:p>
      <w:pPr>
        <w:pStyle w:val="Heading21"/>
        <w:rPr>
          <w:rFonts w:eastAsia="Arial" w:cs="Arial"/>
          <w:b/>
          <w:bCs/>
          <w:color w:val="2E75B6"/>
          <w:sz w:val="28"/>
          <w:szCs w:val="28"/>
        </w:rPr>
      </w:pPr>
      <w:r>
        <w:rPr>
          <w:rFonts w:eastAsia="Arial" w:cs="Arial"/>
          <w:b/>
          <w:bCs/>
          <w:color w:val="2E75B6"/>
          <w:sz w:val="28"/>
          <w:szCs w:val="28"/>
        </w:rPr>
        <w:t>4.1.</w:t>
      </w:r>
      <w:r>
        <w:rPr>
          <w:rFonts w:eastAsia="Arial" w:cs="Arial"/>
          <w:b/>
          <w:bCs/>
          <w:color w:val="2E75B6"/>
          <w:sz w:val="28"/>
          <w:szCs w:val="28"/>
        </w:rPr>
        <w:t>2</w:t>
      </w:r>
      <w:r>
        <w:rPr>
          <w:rFonts w:eastAsia="Arial" w:cs="Arial"/>
          <w:b/>
          <w:bCs/>
          <w:color w:val="2E75B6"/>
          <w:sz w:val="28"/>
          <w:szCs w:val="28"/>
        </w:rPr>
        <w:t xml:space="preserve"> </w:t>
      </w:r>
      <w:r>
        <w:rPr>
          <w:rFonts w:eastAsia="Arial" w:cs="Arial"/>
          <w:b/>
          <w:bCs/>
          <w:color w:val="2E75B6"/>
          <w:sz w:val="28"/>
          <w:szCs w:val="28"/>
        </w:rPr>
        <w:t>Modelo Lógico:</w:t>
      </w:r>
    </w:p>
    <w:p>
      <w:pPr>
        <w:pStyle w:val="Heading21"/>
        <w:rPr>
          <w:rFonts w:eastAsia="Arial" w:cs="Arial"/>
          <w:b/>
          <w:bCs/>
          <w:color w:val="2E75B6"/>
          <w:sz w:val="28"/>
          <w:szCs w:val="28"/>
        </w:rPr>
      </w:pPr>
      <w:r>
        <w:rPr>
          <w:rFonts w:eastAsia="Arial" w:cs="Arial"/>
          <w:b/>
          <w:bCs/>
          <w:color w:val="2E75B6"/>
          <w:sz w:val="28"/>
          <w:szCs w:val="28"/>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3975735"/>
            <wp:effectExtent l="0" t="0" r="0" b="0"/>
            <wp:wrapSquare wrapText="largest"/>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3"/>
                    <a:stretch>
                      <a:fillRect/>
                    </a:stretch>
                  </pic:blipFill>
                  <pic:spPr bwMode="auto">
                    <a:xfrm>
                      <a:off x="0" y="0"/>
                      <a:ext cx="6120130" cy="3975735"/>
                    </a:xfrm>
                    <a:prstGeom prst="rect">
                      <a:avLst/>
                    </a:prstGeom>
                    <a:noFill/>
                  </pic:spPr>
                </pic:pic>
              </a:graphicData>
            </a:graphic>
          </wp:anchor>
        </w:drawing>
      </w:r>
    </w:p>
    <w:p>
      <w:pPr>
        <w:pStyle w:val="Heading21"/>
        <w:rPr>
          <w:rFonts w:eastAsia="Arial" w:cs="Arial"/>
          <w:b/>
          <w:bCs/>
          <w:color w:val="2E75B6"/>
          <w:sz w:val="28"/>
          <w:szCs w:val="28"/>
        </w:rPr>
      </w:pPr>
      <w:r>
        <w:rPr>
          <w:rFonts w:eastAsia="Arial" w:cs="Arial"/>
          <w:b/>
          <w:bCs/>
          <w:color w:val="2E75B6"/>
          <w:sz w:val="28"/>
          <w:szCs w:val="28"/>
        </w:rPr>
        <w:t>4.2 Dicionário de Dados</w:t>
      </w:r>
    </w:p>
    <w:p>
      <w:pPr>
        <w:pStyle w:val="Normal"/>
        <w:spacing w:before="60" w:after="60"/>
        <w:jc w:val="both"/>
        <w:rPr/>
      </w:pPr>
      <w:r>
        <w:rPr>
          <w:rFonts w:eastAsia="Arial" w:cs="Arial"/>
          <w:color w:val="404040"/>
          <w:sz w:val="22"/>
          <w:szCs w:val="22"/>
        </w:rPr>
        <w:t>A nomenclatura dos atributos segue uma convenção de prefixos semânticos de dois caracteres:</w:t>
      </w:r>
    </w:p>
    <w:p>
      <w:pPr>
        <w:pStyle w:val="Normal"/>
        <w:spacing w:before="60" w:after="60"/>
        <w:rPr/>
      </w:pPr>
      <w:r>
        <w:rPr/>
      </w:r>
    </w:p>
    <w:tbl>
      <w:tblPr>
        <w:tblW w:w="9638" w:type="dxa"/>
        <w:jc w:val="start"/>
        <w:tblInd w:w="0" w:type="dxa"/>
        <w:tblLayout w:type="fixed"/>
        <w:tblCellMar>
          <w:top w:w="80" w:type="dxa"/>
          <w:start w:w="120" w:type="dxa"/>
          <w:bottom w:w="80" w:type="dxa"/>
          <w:end w:w="120" w:type="dxa"/>
        </w:tblCellMar>
      </w:tblPr>
      <w:tblGrid>
        <w:gridCol w:w="1198"/>
        <w:gridCol w:w="1998"/>
        <w:gridCol w:w="6442"/>
      </w:tblGrid>
      <w:tr>
        <w:trPr>
          <w:tblHeader w:val="true"/>
        </w:trPr>
        <w:tc>
          <w:tcPr>
            <w:tcW w:w="119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Prefixo</w:t>
            </w:r>
          </w:p>
        </w:tc>
        <w:tc>
          <w:tcPr>
            <w:tcW w:w="199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Tipo SQL</w:t>
            </w:r>
          </w:p>
        </w:tc>
        <w:tc>
          <w:tcPr>
            <w:tcW w:w="6442"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Significado e Justificativa</w:t>
            </w:r>
          </w:p>
        </w:tc>
      </w:tr>
      <w:tr>
        <w:trPr/>
        <w:tc>
          <w:tcPr>
            <w:tcW w:w="119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ID</w:t>
            </w:r>
          </w:p>
        </w:tc>
        <w:tc>
          <w:tcPr>
            <w:tcW w:w="199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BIGINT IDENTITY</w:t>
            </w:r>
          </w:p>
        </w:tc>
        <w:tc>
          <w:tcPr>
            <w:tcW w:w="644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Identificadores surrogados de 64 bits. Início em 1.000.000.001 para distinguir IDs reais de dados de teste.</w:t>
            </w:r>
          </w:p>
        </w:tc>
      </w:tr>
      <w:tr>
        <w:trPr/>
        <w:tc>
          <w:tcPr>
            <w:tcW w:w="119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NM</w:t>
            </w:r>
          </w:p>
        </w:tc>
        <w:tc>
          <w:tcPr>
            <w:tcW w:w="199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VARCHAR(n)</w:t>
            </w:r>
          </w:p>
        </w:tc>
        <w:tc>
          <w:tcPr>
            <w:tcW w:w="6442"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Nomes de pessoas, eventos, locais e perfis. Tamanho calibrado ao domínio.</w:t>
            </w:r>
          </w:p>
        </w:tc>
      </w:tr>
      <w:tr>
        <w:trPr/>
        <w:tc>
          <w:tcPr>
            <w:tcW w:w="119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DS</w:t>
            </w:r>
          </w:p>
        </w:tc>
        <w:tc>
          <w:tcPr>
            <w:tcW w:w="199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TEXT</w:t>
            </w:r>
          </w:p>
        </w:tc>
        <w:tc>
          <w:tcPr>
            <w:tcW w:w="644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Descrições longas e sem limite predefinido. Mais eficiente no PostgreSQL que VARCHAR ilimitado.</w:t>
            </w:r>
          </w:p>
        </w:tc>
      </w:tr>
      <w:tr>
        <w:trPr/>
        <w:tc>
          <w:tcPr>
            <w:tcW w:w="119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VL</w:t>
            </w:r>
          </w:p>
        </w:tc>
        <w:tc>
          <w:tcPr>
            <w:tcW w:w="199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NUMERIC(10,2)</w:t>
            </w:r>
          </w:p>
        </w:tc>
        <w:tc>
          <w:tcPr>
            <w:tcW w:w="6442"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Valores monetários. Mapeia para java.math.BigDecimal, garantindo precisão absoluta sem arredondamento de ponto flutuante.</w:t>
            </w:r>
          </w:p>
        </w:tc>
      </w:tr>
      <w:tr>
        <w:trPr/>
        <w:tc>
          <w:tcPr>
            <w:tcW w:w="119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DT</w:t>
            </w:r>
          </w:p>
        </w:tc>
        <w:tc>
          <w:tcPr>
            <w:tcW w:w="199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TIMESTAMP</w:t>
            </w:r>
          </w:p>
        </w:tc>
        <w:tc>
          <w:tcPr>
            <w:tcW w:w="644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Datas e horas. Compatível com java.time.LocalDateTime. Sem fuso-horário explícito (assumido UTC na configuração do servidor).</w:t>
            </w:r>
          </w:p>
        </w:tc>
      </w:tr>
      <w:tr>
        <w:trPr/>
        <w:tc>
          <w:tcPr>
            <w:tcW w:w="119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ST / CH</w:t>
            </w:r>
          </w:p>
        </w:tc>
        <w:tc>
          <w:tcPr>
            <w:tcW w:w="199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CHAR(1)</w:t>
            </w:r>
          </w:p>
        </w:tc>
        <w:tc>
          <w:tcPr>
            <w:tcW w:w="6442"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Status e flags booleanas. Sempre acompanhados de CHECK constraint para restringir o domínio de valores válidos.</w:t>
            </w:r>
          </w:p>
        </w:tc>
      </w:tr>
      <w:tr>
        <w:trPr/>
        <w:tc>
          <w:tcPr>
            <w:tcW w:w="119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QT</w:t>
            </w:r>
          </w:p>
        </w:tc>
        <w:tc>
          <w:tcPr>
            <w:tcW w:w="199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INTEGER</w:t>
            </w:r>
          </w:p>
        </w:tc>
        <w:tc>
          <w:tcPr>
            <w:tcW w:w="644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Quantidades. INTEGER (32 bits) é suficiente para capacidades físicas de locais e volumes de lotes.</w:t>
            </w:r>
          </w:p>
        </w:tc>
      </w:tr>
      <w:tr>
        <w:trPr/>
        <w:tc>
          <w:tcPr>
            <w:tcW w:w="119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NU</w:t>
            </w:r>
          </w:p>
        </w:tc>
        <w:tc>
          <w:tcPr>
            <w:tcW w:w="199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VARCHAR(14)</w:t>
            </w:r>
          </w:p>
        </w:tc>
        <w:tc>
          <w:tcPr>
            <w:tcW w:w="6442"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Números de documentos (CPF/CNPJ). Armazenados como string para preservar zeros à esquerda.</w:t>
            </w:r>
          </w:p>
        </w:tc>
      </w:tr>
      <w:tr>
        <w:trPr/>
        <w:tc>
          <w:tcPr>
            <w:tcW w:w="119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CD</w:t>
            </w:r>
          </w:p>
        </w:tc>
        <w:tc>
          <w:tcPr>
            <w:tcW w:w="199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VARCHAR(n)</w:t>
            </w:r>
          </w:p>
        </w:tc>
        <w:tc>
          <w:tcPr>
            <w:tcW w:w="644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Códigos alfanuméricos (ex: token de acesso do ingresso).</w:t>
            </w:r>
          </w:p>
        </w:tc>
      </w:tr>
    </w:tbl>
    <w:p>
      <w:pPr>
        <w:pStyle w:val="Normal"/>
        <w:spacing w:before="60" w:after="60"/>
        <w:rPr>
          <w:rFonts w:ascii="Arial" w:hAnsi="Arial" w:eastAsia="Arial" w:cs="Arial"/>
          <w:b/>
          <w:bCs/>
          <w:color w:val="404040"/>
          <w:sz w:val="24"/>
          <w:szCs w:val="24"/>
        </w:rPr>
      </w:pPr>
      <w:r>
        <w:rPr>
          <w:rFonts w:eastAsia="Arial" w:cs="Arial"/>
          <w:b/>
          <w:bCs/>
          <w:color w:val="404040"/>
          <w:sz w:val="24"/>
          <w:szCs w:val="24"/>
        </w:rPr>
      </w:r>
    </w:p>
    <w:p>
      <w:pPr>
        <w:pStyle w:val="Heading31"/>
        <w:rPr>
          <w:rFonts w:ascii="Arial" w:hAnsi="Arial" w:eastAsia="Arial" w:cs="Arial"/>
          <w:b/>
          <w:bCs/>
          <w:color w:val="404040"/>
          <w:sz w:val="24"/>
          <w:szCs w:val="24"/>
        </w:rPr>
      </w:pPr>
      <w:r>
        <w:rPr>
          <w:rFonts w:eastAsia="Arial" w:cs="Arial"/>
          <w:b/>
          <w:bCs/>
          <w:color w:val="404040"/>
          <w:sz w:val="24"/>
          <w:szCs w:val="24"/>
        </w:rPr>
        <w:t>Entidade: USU_usuario</w:t>
      </w:r>
    </w:p>
    <w:tbl>
      <w:tblPr>
        <w:tblW w:w="9638" w:type="dxa"/>
        <w:jc w:val="start"/>
        <w:tblInd w:w="0" w:type="dxa"/>
        <w:tblLayout w:type="fixed"/>
        <w:tblCellMar>
          <w:top w:w="80" w:type="dxa"/>
          <w:start w:w="120" w:type="dxa"/>
          <w:bottom w:w="80" w:type="dxa"/>
          <w:end w:w="120" w:type="dxa"/>
        </w:tblCellMar>
      </w:tblPr>
      <w:tblGrid>
        <w:gridCol w:w="2396"/>
        <w:gridCol w:w="1600"/>
        <w:gridCol w:w="704"/>
        <w:gridCol w:w="4938"/>
      </w:tblGrid>
      <w:tr>
        <w:trPr>
          <w:tblHeader w:val="true"/>
        </w:trPr>
        <w:tc>
          <w:tcPr>
            <w:tcW w:w="23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Atributo</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Tipo</w:t>
            </w:r>
          </w:p>
        </w:tc>
        <w:tc>
          <w:tcPr>
            <w:tcW w:w="704"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Obrig.</w:t>
            </w:r>
          </w:p>
        </w:tc>
        <w:tc>
          <w:tcPr>
            <w:tcW w:w="493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Descrição e Constraints</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usu_id_usuario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PK. IDENTITY iniciando em 1.000.000.001. Surrogate ID do usuário.</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usu_nm_usuario</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VARCHAR(150)</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Nome completo ou razão social. NOT NULL.</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usu_ds_email</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VARCHAR(255)</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E-mail de login. NOT NULL, UNIQUE. Indexado por IDX_usu_email.</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usu_ds_senha</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VARCHAR(255)</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Hash da senha (ex: BCrypt). NOT NULL. Nunca armazenada em texto plano.</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usu_nu_cpf_cnpj</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VARCHAR(14)</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CPF (11 dígitos) ou CNPJ (14 dígitos). NOT NULL, UNIQUE.</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ascii="Courier New" w:hAnsi="Courier New" w:eastAsia="Courier New" w:cs="Courier New"/>
                <w:color w:val="404040"/>
                <w:sz w:val="19"/>
                <w:szCs w:val="19"/>
              </w:rPr>
            </w:pPr>
            <w:bookmarkStart w:id="0" w:name="__DdeLink__4283_2788941336"/>
            <w:r>
              <w:rPr>
                <w:rFonts w:eastAsia="Courier New" w:cs="Courier New" w:ascii="Courier New" w:hAnsi="Courier New"/>
                <w:color w:val="404040"/>
                <w:sz w:val="19"/>
                <w:szCs w:val="19"/>
              </w:rPr>
              <w:t>usu_ds_foto_perfil</w:t>
            </w:r>
            <w:bookmarkEnd w:id="0"/>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TEXT</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Não</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URL ou caminho da imagem de perfil. Opcional.</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bookmarkStart w:id="1" w:name="__DdeLink__4285_2788941336"/>
            <w:r>
              <w:rPr>
                <w:rFonts w:eastAsia="Courier New" w:cs="Courier New" w:ascii="Courier New" w:hAnsi="Courier New"/>
                <w:color w:val="404040"/>
                <w:sz w:val="19"/>
                <w:szCs w:val="19"/>
              </w:rPr>
              <w:t>usu_dt_cadastro</w:t>
            </w:r>
            <w:bookmarkEnd w:id="1"/>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TIMESTAMP</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Data de criação da conta. DEFAULT CURRENT_TIMESTAMP.</w:t>
            </w:r>
          </w:p>
        </w:tc>
      </w:tr>
    </w:tbl>
    <w:p>
      <w:pPr>
        <w:pStyle w:val="Normal"/>
        <w:spacing w:before="60" w:after="60"/>
        <w:rPr/>
      </w:pPr>
      <w:r>
        <w:rPr/>
      </w:r>
    </w:p>
    <w:p>
      <w:pPr>
        <w:pStyle w:val="Normal"/>
        <w:spacing w:before="60" w:after="60"/>
        <w:rPr/>
      </w:pPr>
      <w:r>
        <w:rPr/>
      </w:r>
    </w:p>
    <w:p>
      <w:pPr>
        <w:pStyle w:val="Heading31"/>
        <w:rPr>
          <w:rFonts w:eastAsia="Arial" w:cs="Arial"/>
          <w:b/>
          <w:bCs/>
          <w:color w:val="404040"/>
          <w:sz w:val="24"/>
          <w:szCs w:val="24"/>
        </w:rPr>
      </w:pPr>
      <w:r>
        <w:rPr>
          <w:rFonts w:eastAsia="Arial" w:cs="Arial"/>
          <w:b/>
          <w:bCs/>
          <w:color w:val="404040"/>
          <w:sz w:val="24"/>
          <w:szCs w:val="24"/>
        </w:rPr>
        <w:t>Entidade: PER_perfil</w:t>
      </w:r>
    </w:p>
    <w:tbl>
      <w:tblPr>
        <w:tblW w:w="9638" w:type="dxa"/>
        <w:jc w:val="start"/>
        <w:tblInd w:w="0" w:type="dxa"/>
        <w:tblLayout w:type="fixed"/>
        <w:tblCellMar>
          <w:top w:w="80" w:type="dxa"/>
          <w:start w:w="120" w:type="dxa"/>
          <w:bottom w:w="80" w:type="dxa"/>
          <w:end w:w="120" w:type="dxa"/>
        </w:tblCellMar>
      </w:tblPr>
      <w:tblGrid>
        <w:gridCol w:w="2396"/>
        <w:gridCol w:w="1600"/>
        <w:gridCol w:w="704"/>
        <w:gridCol w:w="4938"/>
      </w:tblGrid>
      <w:tr>
        <w:trPr>
          <w:tblHeader w:val="true"/>
        </w:trPr>
        <w:tc>
          <w:tcPr>
            <w:tcW w:w="23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Atributo</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Tipo</w:t>
            </w:r>
          </w:p>
        </w:tc>
        <w:tc>
          <w:tcPr>
            <w:tcW w:w="704"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Obrig.</w:t>
            </w:r>
          </w:p>
        </w:tc>
        <w:tc>
          <w:tcPr>
            <w:tcW w:w="493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Descrição e Constraints</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per_id_perfil</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PK. IDENTITY. Identificador do papel de acesso.</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per_nm_perfil</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VARCHAR(50)</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Nome do perfil (ex: 'ORGANIZADOR', 'COMPRADOR'). NOT NULL, UNIQUE.</w:t>
            </w:r>
          </w:p>
        </w:tc>
      </w:tr>
    </w:tbl>
    <w:p>
      <w:pPr>
        <w:pStyle w:val="Normal"/>
        <w:spacing w:before="60" w:after="60"/>
        <w:rPr/>
      </w:pPr>
      <w:r>
        <w:rPr/>
      </w:r>
    </w:p>
    <w:p>
      <w:pPr>
        <w:pStyle w:val="Normal"/>
        <w:spacing w:before="60" w:after="60"/>
        <w:rPr/>
      </w:pPr>
      <w:r>
        <w:rPr/>
      </w:r>
    </w:p>
    <w:p>
      <w:pPr>
        <w:pStyle w:val="Heading31"/>
        <w:rPr>
          <w:rFonts w:eastAsia="Arial" w:cs="Arial"/>
          <w:b/>
          <w:bCs/>
          <w:color w:val="404040"/>
          <w:sz w:val="24"/>
          <w:szCs w:val="24"/>
        </w:rPr>
      </w:pPr>
      <w:r>
        <w:rPr>
          <w:rFonts w:eastAsia="Arial" w:cs="Arial"/>
          <w:b/>
          <w:bCs/>
          <w:color w:val="404040"/>
          <w:sz w:val="24"/>
          <w:szCs w:val="24"/>
        </w:rPr>
        <w:t>Entidade: USP_usuario_perfil (Tabela Associativa N:M)</w:t>
      </w:r>
    </w:p>
    <w:tbl>
      <w:tblPr>
        <w:tblW w:w="9638" w:type="dxa"/>
        <w:jc w:val="start"/>
        <w:tblInd w:w="0" w:type="dxa"/>
        <w:tblLayout w:type="fixed"/>
        <w:tblCellMar>
          <w:top w:w="80" w:type="dxa"/>
          <w:start w:w="120" w:type="dxa"/>
          <w:bottom w:w="80" w:type="dxa"/>
          <w:end w:w="120" w:type="dxa"/>
        </w:tblCellMar>
      </w:tblPr>
      <w:tblGrid>
        <w:gridCol w:w="2396"/>
        <w:gridCol w:w="1600"/>
        <w:gridCol w:w="704"/>
        <w:gridCol w:w="4938"/>
      </w:tblGrid>
      <w:tr>
        <w:trPr>
          <w:tblHeader w:val="true"/>
        </w:trPr>
        <w:tc>
          <w:tcPr>
            <w:tcW w:w="23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Atributo</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Tipo</w:t>
            </w:r>
          </w:p>
        </w:tc>
        <w:tc>
          <w:tcPr>
            <w:tcW w:w="704"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Obrig.</w:t>
            </w:r>
          </w:p>
        </w:tc>
        <w:tc>
          <w:tcPr>
            <w:tcW w:w="493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Descrição e Constraints</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usp_id_usuario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PK composta + FK → USU_usuario. ON DELETE CASCADE.</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usp_id_perfil</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PK composta + FK → PER_perfil. ON DELETE CASCADE.</w:t>
            </w:r>
          </w:p>
        </w:tc>
      </w:tr>
    </w:tbl>
    <w:p>
      <w:pPr>
        <w:pStyle w:val="Normal"/>
        <w:spacing w:before="60" w:after="60"/>
        <w:rPr/>
      </w:pPr>
      <w:r>
        <w:rPr/>
      </w:r>
    </w:p>
    <w:p>
      <w:pPr>
        <w:pStyle w:val="Normal"/>
        <w:spacing w:before="60" w:after="60"/>
        <w:rPr/>
      </w:pPr>
      <w:r>
        <w:rPr/>
      </w:r>
    </w:p>
    <w:p>
      <w:pPr>
        <w:pStyle w:val="Heading31"/>
        <w:rPr>
          <w:rFonts w:eastAsia="Arial" w:cs="Arial"/>
          <w:b/>
          <w:bCs/>
          <w:color w:val="404040"/>
          <w:sz w:val="24"/>
          <w:szCs w:val="24"/>
        </w:rPr>
      </w:pPr>
      <w:r>
        <w:rPr>
          <w:rFonts w:eastAsia="Arial" w:cs="Arial"/>
          <w:b/>
          <w:bCs/>
          <w:color w:val="404040"/>
          <w:sz w:val="24"/>
          <w:szCs w:val="24"/>
        </w:rPr>
        <w:t>Entidade: CAT_categoria</w:t>
      </w:r>
    </w:p>
    <w:tbl>
      <w:tblPr>
        <w:tblW w:w="9638" w:type="dxa"/>
        <w:jc w:val="start"/>
        <w:tblInd w:w="0" w:type="dxa"/>
        <w:tblLayout w:type="fixed"/>
        <w:tblCellMar>
          <w:top w:w="80" w:type="dxa"/>
          <w:start w:w="120" w:type="dxa"/>
          <w:bottom w:w="80" w:type="dxa"/>
          <w:end w:w="120" w:type="dxa"/>
        </w:tblCellMar>
      </w:tblPr>
      <w:tblGrid>
        <w:gridCol w:w="2396"/>
        <w:gridCol w:w="1600"/>
        <w:gridCol w:w="704"/>
        <w:gridCol w:w="4938"/>
      </w:tblGrid>
      <w:tr>
        <w:trPr>
          <w:tblHeader w:val="true"/>
        </w:trPr>
        <w:tc>
          <w:tcPr>
            <w:tcW w:w="23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Atributo</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Tipo</w:t>
            </w:r>
          </w:p>
        </w:tc>
        <w:tc>
          <w:tcPr>
            <w:tcW w:w="704"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Obrig.</w:t>
            </w:r>
          </w:p>
        </w:tc>
        <w:tc>
          <w:tcPr>
            <w:tcW w:w="493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Descrição e Constraints</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cat_id_categoria</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PK. IDENTITY.</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ascii="Courier New" w:hAnsi="Courier New" w:eastAsia="Courier New" w:cs="Courier New"/>
                <w:color w:val="404040"/>
                <w:sz w:val="19"/>
                <w:szCs w:val="19"/>
              </w:rPr>
            </w:pPr>
            <w:bookmarkStart w:id="2" w:name="__DdeLink__4287_2788941336"/>
            <w:r>
              <w:rPr>
                <w:rFonts w:eastAsia="Courier New" w:cs="Courier New" w:ascii="Courier New" w:hAnsi="Courier New"/>
                <w:color w:val="404040"/>
                <w:sz w:val="19"/>
                <w:szCs w:val="19"/>
              </w:rPr>
              <w:t>cat_nm_categoria</w:t>
            </w:r>
            <w:bookmarkEnd w:id="2"/>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VARCHAR(100)</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Ex: 'Concerto', 'Workshop', 'Esporte'. NOT NULL.</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cat_ds_categoria</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TEXT</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Não</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Descrição detalhada da categoria. Opcional.</w:t>
            </w:r>
          </w:p>
        </w:tc>
      </w:tr>
    </w:tbl>
    <w:p>
      <w:pPr>
        <w:pStyle w:val="Normal"/>
        <w:spacing w:before="60" w:after="60"/>
        <w:rPr>
          <w:rFonts w:ascii="Arial" w:hAnsi="Arial" w:eastAsia="Arial" w:cs="Arial"/>
          <w:b/>
          <w:bCs/>
          <w:color w:val="404040"/>
          <w:sz w:val="24"/>
          <w:szCs w:val="24"/>
        </w:rPr>
      </w:pPr>
      <w:r>
        <w:rPr>
          <w:rFonts w:eastAsia="Arial" w:cs="Arial"/>
          <w:b/>
          <w:bCs/>
          <w:color w:val="404040"/>
          <w:sz w:val="24"/>
          <w:szCs w:val="24"/>
        </w:rPr>
      </w:r>
    </w:p>
    <w:p>
      <w:pPr>
        <w:pStyle w:val="Heading31"/>
        <w:rPr>
          <w:rFonts w:ascii="Arial" w:hAnsi="Arial" w:eastAsia="Arial" w:cs="Arial"/>
          <w:b/>
          <w:bCs/>
          <w:color w:val="404040"/>
          <w:sz w:val="24"/>
          <w:szCs w:val="24"/>
        </w:rPr>
      </w:pPr>
      <w:r>
        <w:rPr>
          <w:rFonts w:eastAsia="Arial" w:cs="Arial"/>
          <w:b/>
          <w:bCs/>
          <w:color w:val="404040"/>
          <w:sz w:val="24"/>
          <w:szCs w:val="24"/>
        </w:rPr>
        <w:t>Entidade: EVE_evento</w:t>
      </w:r>
    </w:p>
    <w:tbl>
      <w:tblPr>
        <w:tblW w:w="9638" w:type="dxa"/>
        <w:jc w:val="start"/>
        <w:tblInd w:w="0" w:type="dxa"/>
        <w:tblLayout w:type="fixed"/>
        <w:tblCellMar>
          <w:top w:w="80" w:type="dxa"/>
          <w:start w:w="120" w:type="dxa"/>
          <w:bottom w:w="80" w:type="dxa"/>
          <w:end w:w="120" w:type="dxa"/>
        </w:tblCellMar>
      </w:tblPr>
      <w:tblGrid>
        <w:gridCol w:w="2396"/>
        <w:gridCol w:w="1600"/>
        <w:gridCol w:w="704"/>
        <w:gridCol w:w="4938"/>
      </w:tblGrid>
      <w:tr>
        <w:trPr>
          <w:tblHeader w:val="true"/>
        </w:trPr>
        <w:tc>
          <w:tcPr>
            <w:tcW w:w="23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Atributo</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Tipo</w:t>
            </w:r>
          </w:p>
        </w:tc>
        <w:tc>
          <w:tcPr>
            <w:tcW w:w="704"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Obrig.</w:t>
            </w:r>
          </w:p>
        </w:tc>
        <w:tc>
          <w:tcPr>
            <w:tcW w:w="493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Descrição e Constraints</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bookmarkStart w:id="3" w:name="__DdeLink__4297_2788941336"/>
            <w:r>
              <w:rPr>
                <w:rFonts w:eastAsia="Courier New" w:cs="Courier New" w:ascii="Courier New" w:hAnsi="Courier New"/>
                <w:color w:val="404040"/>
                <w:sz w:val="19"/>
                <w:szCs w:val="19"/>
              </w:rPr>
              <w:t>eve_id_evento</w:t>
            </w:r>
            <w:bookmarkEnd w:id="3"/>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PK. IDENTITY.</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eve_id_organizador</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FK → USU_usuario. NOT NULL.</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eve_id_categoria</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FK → CAT_categoria. NOT NULL.</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eve_nm_evento</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VARCHAR(200)</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Título público do evento. NOT NULL.</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eve_dt_evento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TIMESTAMP</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Data e hora do evento. NOT NULL. Indexado por IDX_eve_dt_evento.</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eve_nm_local</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VARCHAR(200)</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Nome do local/recinto. NOT NULL.</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eve_qt_capacidade</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INTEGER</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Capacidade total do recinto. NOT NULL, CHECK &gt; 0.</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eve_ds_imagem</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TEXT</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Não</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URL ou caminho da imagem de divulgação. Opcional.</w:t>
            </w:r>
          </w:p>
        </w:tc>
      </w:tr>
    </w:tbl>
    <w:p>
      <w:pPr>
        <w:pStyle w:val="Normal"/>
        <w:spacing w:before="60" w:after="60"/>
        <w:rPr/>
      </w:pPr>
      <w:r>
        <w:rPr/>
      </w:r>
    </w:p>
    <w:p>
      <w:pPr>
        <w:pStyle w:val="Normal"/>
        <w:spacing w:before="60" w:after="60"/>
        <w:rPr/>
      </w:pPr>
      <w:r>
        <w:rPr/>
      </w:r>
    </w:p>
    <w:p>
      <w:pPr>
        <w:pStyle w:val="Heading31"/>
        <w:rPr>
          <w:rFonts w:eastAsia="Arial" w:cs="Arial"/>
          <w:b/>
          <w:bCs/>
          <w:color w:val="404040"/>
          <w:sz w:val="24"/>
          <w:szCs w:val="24"/>
        </w:rPr>
      </w:pPr>
      <w:r>
        <w:rPr>
          <w:rFonts w:eastAsia="Arial" w:cs="Arial"/>
          <w:b/>
          <w:bCs/>
          <w:color w:val="404040"/>
          <w:sz w:val="24"/>
          <w:szCs w:val="24"/>
        </w:rPr>
        <w:t>Entidade: TPI_tipo_ingresso</w:t>
      </w:r>
    </w:p>
    <w:tbl>
      <w:tblPr>
        <w:tblW w:w="9638" w:type="dxa"/>
        <w:jc w:val="start"/>
        <w:tblInd w:w="0" w:type="dxa"/>
        <w:tblLayout w:type="fixed"/>
        <w:tblCellMar>
          <w:top w:w="80" w:type="dxa"/>
          <w:start w:w="120" w:type="dxa"/>
          <w:bottom w:w="80" w:type="dxa"/>
          <w:end w:w="120" w:type="dxa"/>
        </w:tblCellMar>
      </w:tblPr>
      <w:tblGrid>
        <w:gridCol w:w="2396"/>
        <w:gridCol w:w="1600"/>
        <w:gridCol w:w="704"/>
        <w:gridCol w:w="4938"/>
      </w:tblGrid>
      <w:tr>
        <w:trPr>
          <w:tblHeader w:val="true"/>
        </w:trPr>
        <w:tc>
          <w:tcPr>
            <w:tcW w:w="23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Atributo</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Tipo</w:t>
            </w:r>
          </w:p>
        </w:tc>
        <w:tc>
          <w:tcPr>
            <w:tcW w:w="704"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Obrig.</w:t>
            </w:r>
          </w:p>
        </w:tc>
        <w:tc>
          <w:tcPr>
            <w:tcW w:w="493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Descrição e Constraints</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tpi_id_tipo_ingresso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PK. IDENTITY.</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tpi_id_evento</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FK → EVE_evento. NOT NULL. ON DELETE CASCADE. Indexado por IDX_tpi_evento.</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tpi_nm_tipo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VARCHAR(100)</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Ex: 'VIP', 'Pista Meia-Entrada', 'Lote 1 Inteira'. NOT NULL.</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tpi_vl_preco</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NUMERIC(10,2)</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Valor do ingresso. NOT NULL, CHECK &gt;= 0. Zero = cortesia.</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tpi_qt_lote</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INTEGER</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Quantidade máxima de ingressos deste lote. NOT NULL, CHECK &gt; 0.</w:t>
            </w:r>
          </w:p>
        </w:tc>
      </w:tr>
    </w:tbl>
    <w:p>
      <w:pPr>
        <w:pStyle w:val="Normal"/>
        <w:spacing w:before="60" w:after="60"/>
        <w:rPr/>
      </w:pPr>
      <w:r>
        <w:rPr/>
      </w:r>
    </w:p>
    <w:p>
      <w:pPr>
        <w:pStyle w:val="Normal"/>
        <w:spacing w:before="60" w:after="60"/>
        <w:rPr/>
      </w:pPr>
      <w:r>
        <w:rPr/>
      </w:r>
    </w:p>
    <w:p>
      <w:pPr>
        <w:pStyle w:val="Heading31"/>
        <w:rPr>
          <w:rFonts w:eastAsia="Arial" w:cs="Arial"/>
          <w:b/>
          <w:bCs/>
          <w:color w:val="404040"/>
          <w:sz w:val="24"/>
          <w:szCs w:val="24"/>
        </w:rPr>
      </w:pPr>
      <w:r>
        <w:rPr>
          <w:rFonts w:eastAsia="Arial" w:cs="Arial"/>
          <w:b/>
          <w:bCs/>
          <w:color w:val="404040"/>
          <w:sz w:val="24"/>
          <w:szCs w:val="24"/>
        </w:rPr>
        <w:t>Entidade: TRA_transacao</w:t>
      </w:r>
    </w:p>
    <w:tbl>
      <w:tblPr>
        <w:tblW w:w="9638" w:type="dxa"/>
        <w:jc w:val="start"/>
        <w:tblInd w:w="0" w:type="dxa"/>
        <w:tblLayout w:type="fixed"/>
        <w:tblCellMar>
          <w:top w:w="80" w:type="dxa"/>
          <w:start w:w="120" w:type="dxa"/>
          <w:bottom w:w="80" w:type="dxa"/>
          <w:end w:w="120" w:type="dxa"/>
        </w:tblCellMar>
      </w:tblPr>
      <w:tblGrid>
        <w:gridCol w:w="2396"/>
        <w:gridCol w:w="1679"/>
        <w:gridCol w:w="966"/>
        <w:gridCol w:w="4597"/>
      </w:tblGrid>
      <w:tr>
        <w:trPr>
          <w:tblHeader w:val="true"/>
        </w:trPr>
        <w:tc>
          <w:tcPr>
            <w:tcW w:w="23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Atributo</w:t>
            </w:r>
          </w:p>
        </w:tc>
        <w:tc>
          <w:tcPr>
            <w:tcW w:w="167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Tipo</w:t>
            </w:r>
          </w:p>
        </w:tc>
        <w:tc>
          <w:tcPr>
            <w:tcW w:w="96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Obrig.</w:t>
            </w:r>
          </w:p>
        </w:tc>
        <w:tc>
          <w:tcPr>
            <w:tcW w:w="4597"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Descrição e Constraints</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tra_id_transacao</w:t>
            </w:r>
          </w:p>
        </w:tc>
        <w:tc>
          <w:tcPr>
            <w:tcW w:w="1679"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BIGINT</w:t>
            </w:r>
          </w:p>
        </w:tc>
        <w:tc>
          <w:tcPr>
            <w:tcW w:w="96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597"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PK. IDENTITY.</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tra_id_comprador</w:t>
            </w:r>
          </w:p>
        </w:tc>
        <w:tc>
          <w:tcPr>
            <w:tcW w:w="1679"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BIGINT</w:t>
            </w:r>
          </w:p>
        </w:tc>
        <w:tc>
          <w:tcPr>
            <w:tcW w:w="96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Sim</w:t>
            </w:r>
          </w:p>
        </w:tc>
        <w:tc>
          <w:tcPr>
            <w:tcW w:w="4597"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FK → USU_usuario. NOT NULL.</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tra_dt_transacao</w:t>
            </w:r>
          </w:p>
        </w:tc>
        <w:tc>
          <w:tcPr>
            <w:tcW w:w="1679"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TIMESTAMP</w:t>
            </w:r>
          </w:p>
        </w:tc>
        <w:tc>
          <w:tcPr>
            <w:tcW w:w="96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597"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Data/hora da transação. DEFAULT CURRENT_TIMESTAMP.</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tra_st_transacao</w:t>
            </w:r>
          </w:p>
        </w:tc>
        <w:tc>
          <w:tcPr>
            <w:tcW w:w="1679"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CHAR(1)</w:t>
            </w:r>
          </w:p>
        </w:tc>
        <w:tc>
          <w:tcPr>
            <w:tcW w:w="96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Sim</w:t>
            </w:r>
          </w:p>
        </w:tc>
        <w:tc>
          <w:tcPr>
            <w:tcW w:w="4597"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Status. NOT NULL, DEFAULT 'P', CHECK IN ('P','C','X'). Domínio: P=Pendente, C=Concluída, X=Cancelada.</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tra_vl_total</w:t>
            </w:r>
          </w:p>
        </w:tc>
        <w:tc>
          <w:tcPr>
            <w:tcW w:w="1679"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NUMERIC(10,2)</w:t>
            </w:r>
          </w:p>
        </w:tc>
        <w:tc>
          <w:tcPr>
            <w:tcW w:w="96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597"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Valor total da compra. NOT NULL, CHECK &gt;= 0.</w:t>
            </w:r>
          </w:p>
        </w:tc>
      </w:tr>
    </w:tbl>
    <w:p>
      <w:pPr>
        <w:pStyle w:val="Normal"/>
        <w:spacing w:before="60" w:after="60"/>
        <w:rPr/>
      </w:pPr>
      <w:r>
        <w:rPr/>
      </w:r>
    </w:p>
    <w:p>
      <w:pPr>
        <w:pStyle w:val="Normal"/>
        <w:spacing w:before="60" w:after="60"/>
        <w:rPr/>
      </w:pPr>
      <w:r>
        <w:rPr/>
      </w:r>
    </w:p>
    <w:p>
      <w:pPr>
        <w:pStyle w:val="Heading31"/>
        <w:rPr>
          <w:rFonts w:ascii="Arial" w:hAnsi="Arial" w:eastAsia="Arial" w:cs="Arial"/>
          <w:b/>
          <w:bCs/>
          <w:color w:val="404040"/>
          <w:sz w:val="24"/>
          <w:szCs w:val="24"/>
        </w:rPr>
      </w:pPr>
      <w:r>
        <w:rPr>
          <w:rFonts w:eastAsia="Arial" w:cs="Arial"/>
          <w:b/>
          <w:bCs/>
          <w:color w:val="404040"/>
          <w:sz w:val="24"/>
          <w:szCs w:val="24"/>
        </w:rPr>
      </w:r>
    </w:p>
    <w:p>
      <w:pPr>
        <w:pStyle w:val="Heading31"/>
        <w:rPr>
          <w:rFonts w:ascii="Arial" w:hAnsi="Arial" w:eastAsia="Arial" w:cs="Arial"/>
          <w:b/>
          <w:bCs/>
          <w:color w:val="404040"/>
          <w:sz w:val="24"/>
          <w:szCs w:val="24"/>
        </w:rPr>
      </w:pPr>
      <w:r>
        <w:rPr>
          <w:rFonts w:eastAsia="Arial" w:cs="Arial"/>
          <w:b/>
          <w:bCs/>
          <w:color w:val="404040"/>
          <w:sz w:val="24"/>
          <w:szCs w:val="24"/>
        </w:rPr>
        <w:t>Entidade: ING_ingresso</w:t>
      </w:r>
    </w:p>
    <w:tbl>
      <w:tblPr>
        <w:tblW w:w="9638" w:type="dxa"/>
        <w:jc w:val="start"/>
        <w:tblInd w:w="0" w:type="dxa"/>
        <w:tblLayout w:type="fixed"/>
        <w:tblCellMar>
          <w:top w:w="80" w:type="dxa"/>
          <w:start w:w="120" w:type="dxa"/>
          <w:bottom w:w="80" w:type="dxa"/>
          <w:end w:w="120" w:type="dxa"/>
        </w:tblCellMar>
      </w:tblPr>
      <w:tblGrid>
        <w:gridCol w:w="2396"/>
        <w:gridCol w:w="1600"/>
        <w:gridCol w:w="932"/>
        <w:gridCol w:w="4710"/>
      </w:tblGrid>
      <w:tr>
        <w:trPr>
          <w:tblHeader w:val="true"/>
        </w:trPr>
        <w:tc>
          <w:tcPr>
            <w:tcW w:w="23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Atributo</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Tipo</w:t>
            </w:r>
          </w:p>
        </w:tc>
        <w:tc>
          <w:tcPr>
            <w:tcW w:w="932"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Obrig.</w:t>
            </w:r>
          </w:p>
        </w:tc>
        <w:tc>
          <w:tcPr>
            <w:tcW w:w="471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Descrição e Constraints</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ing_id_ingresso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BIGINT</w:t>
            </w:r>
          </w:p>
        </w:tc>
        <w:tc>
          <w:tcPr>
            <w:tcW w:w="93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71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PK. IDENTITY.</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ing_id_transacao</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BIGINT</w:t>
            </w:r>
          </w:p>
        </w:tc>
        <w:tc>
          <w:tcPr>
            <w:tcW w:w="932"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Sim</w:t>
            </w:r>
          </w:p>
        </w:tc>
        <w:tc>
          <w:tcPr>
            <w:tcW w:w="471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FK → TRA_transacao. NOT NULL. Indexado por IDX_ing_transacao.</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ing_id_tipo_ingresso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BIGINT</w:t>
            </w:r>
          </w:p>
        </w:tc>
        <w:tc>
          <w:tcPr>
            <w:tcW w:w="93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71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FK → TPI_tipo_ingresso. NOT NULL. Indexado por IDX_ing_tipo.</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ing_cd_acesso</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VARCHAR(50)</w:t>
            </w:r>
          </w:p>
        </w:tc>
        <w:tc>
          <w:tcPr>
            <w:tcW w:w="932"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Sim</w:t>
            </w:r>
          </w:p>
        </w:tc>
        <w:tc>
          <w:tcPr>
            <w:tcW w:w="471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Token único de acesso (UUID/QR Code). NOT NULL, UNIQUE.</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ing_st_ingresso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CHAR(1)</w:t>
            </w:r>
          </w:p>
        </w:tc>
        <w:tc>
          <w:tcPr>
            <w:tcW w:w="93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71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Status. NOT NULL, DEFAULT 'A', CHECK IN ('A','U','C'). Domínio: A=Ativo, U=Utilizado, C=Cancelado.</w:t>
            </w:r>
          </w:p>
        </w:tc>
      </w:tr>
    </w:tbl>
    <w:p>
      <w:pPr>
        <w:pStyle w:val="Normal"/>
        <w:spacing w:before="60" w:after="60"/>
        <w:rPr/>
      </w:pPr>
      <w:r>
        <w:rPr/>
      </w:r>
    </w:p>
    <w:p>
      <w:pPr>
        <w:pStyle w:val="Normal"/>
        <w:spacing w:before="60" w:after="60"/>
        <w:rPr/>
      </w:pPr>
      <w:r>
        <w:rPr/>
      </w:r>
    </w:p>
    <w:p>
      <w:pPr>
        <w:pStyle w:val="Heading31"/>
        <w:rPr>
          <w:rFonts w:eastAsia="Arial" w:cs="Arial"/>
          <w:b/>
          <w:bCs/>
          <w:color w:val="404040"/>
          <w:sz w:val="24"/>
          <w:szCs w:val="24"/>
        </w:rPr>
      </w:pPr>
      <w:r>
        <w:rPr>
          <w:rFonts w:eastAsia="Arial" w:cs="Arial"/>
          <w:b/>
          <w:bCs/>
          <w:color w:val="404040"/>
          <w:sz w:val="24"/>
          <w:szCs w:val="24"/>
        </w:rPr>
        <w:t>Entidade: WEB_webhook</w:t>
      </w:r>
    </w:p>
    <w:tbl>
      <w:tblPr>
        <w:tblW w:w="9638" w:type="dxa"/>
        <w:jc w:val="start"/>
        <w:tblInd w:w="0" w:type="dxa"/>
        <w:tblLayout w:type="fixed"/>
        <w:tblCellMar>
          <w:top w:w="80" w:type="dxa"/>
          <w:start w:w="120" w:type="dxa"/>
          <w:bottom w:w="80" w:type="dxa"/>
          <w:end w:w="120" w:type="dxa"/>
        </w:tblCellMar>
      </w:tblPr>
      <w:tblGrid>
        <w:gridCol w:w="2396"/>
        <w:gridCol w:w="1600"/>
        <w:gridCol w:w="876"/>
        <w:gridCol w:w="4766"/>
      </w:tblGrid>
      <w:tr>
        <w:trPr>
          <w:tblHeader w:val="true"/>
        </w:trPr>
        <w:tc>
          <w:tcPr>
            <w:tcW w:w="23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Atributo</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Tipo</w:t>
            </w:r>
          </w:p>
        </w:tc>
        <w:tc>
          <w:tcPr>
            <w:tcW w:w="87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Obrig.</w:t>
            </w:r>
          </w:p>
        </w:tc>
        <w:tc>
          <w:tcPr>
            <w:tcW w:w="476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Descrição e Constraints</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web_id_webhook</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BIGINT</w:t>
            </w:r>
          </w:p>
        </w:tc>
        <w:tc>
          <w:tcPr>
            <w:tcW w:w="87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76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PK. IDENTITY.</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web_id_usuario</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BIGINT</w:t>
            </w:r>
          </w:p>
        </w:tc>
        <w:tc>
          <w:tcPr>
            <w:tcW w:w="87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Sim</w:t>
            </w:r>
          </w:p>
        </w:tc>
        <w:tc>
          <w:tcPr>
            <w:tcW w:w="476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FK → USU_usuario. NOT NULL. ON DELETE CASCADE.</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web_ds_url</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TEXT</w:t>
            </w:r>
          </w:p>
        </w:tc>
        <w:tc>
          <w:tcPr>
            <w:tcW w:w="87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76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URL HTTP de destino do payload JSON. NOT NULL.</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web_tp_evento</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VARCHAR(50)</w:t>
            </w:r>
          </w:p>
        </w:tc>
        <w:tc>
          <w:tcPr>
            <w:tcW w:w="87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Sim</w:t>
            </w:r>
          </w:p>
        </w:tc>
        <w:tc>
          <w:tcPr>
            <w:tcW w:w="476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Ex: 'COMPRA_APROVADA', 'INGRESSO_CANCELADO'. NOT NULL.</w:t>
            </w:r>
          </w:p>
        </w:tc>
      </w:tr>
      <w:tr>
        <w:trPr>
          <w:trHeight w:val="537" w:hRule="atLeast"/>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ascii="Courier New" w:hAnsi="Courier New" w:eastAsia="Courier New" w:cs="Courier New"/>
                <w:color w:val="404040"/>
                <w:sz w:val="19"/>
                <w:szCs w:val="19"/>
              </w:rPr>
            </w:pPr>
            <w:r>
              <w:rPr>
                <w:rFonts w:eastAsia="Courier New" w:cs="Courier New" w:ascii="Courier New" w:hAnsi="Courier New"/>
                <w:color w:val="404040"/>
                <w:sz w:val="19"/>
                <w:szCs w:val="19"/>
              </w:rPr>
              <w:t>web_ch_ativo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CHAR(1)</w:t>
            </w:r>
          </w:p>
        </w:tc>
        <w:tc>
          <w:tcPr>
            <w:tcW w:w="87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Sim</w:t>
            </w:r>
          </w:p>
        </w:tc>
        <w:tc>
          <w:tcPr>
            <w:tcW w:w="476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Flag. NOT NULL, DEFAULT 'S', CHECK IN ('S','N'). S=Ativo, N=Inativo.</w:t>
            </w:r>
          </w:p>
        </w:tc>
      </w:tr>
    </w:tbl>
    <w:p>
      <w:pPr>
        <w:pStyle w:val="Normal"/>
        <w:spacing w:before="60" w:after="60"/>
        <w:rPr>
          <w:rFonts w:eastAsia="Arial" w:cs="Arial"/>
          <w:b/>
          <w:bCs/>
          <w:color w:val="2E75B6"/>
          <w:sz w:val="28"/>
          <w:szCs w:val="28"/>
        </w:rPr>
      </w:pPr>
      <w:r>
        <w:rPr>
          <w:rFonts w:eastAsia="Arial" w:cs="Arial"/>
          <w:b/>
          <w:bCs/>
          <w:color w:val="2E75B6"/>
          <w:sz w:val="28"/>
          <w:szCs w:val="28"/>
        </w:rPr>
      </w:r>
    </w:p>
    <w:p>
      <w:pPr>
        <w:pStyle w:val="Heading21"/>
        <w:rPr>
          <w:rFonts w:eastAsia="Arial" w:cs="Arial"/>
          <w:b/>
          <w:bCs/>
          <w:color w:val="2E75B6"/>
          <w:sz w:val="28"/>
          <w:szCs w:val="28"/>
        </w:rPr>
      </w:pPr>
      <w:r>
        <w:rPr>
          <w:rFonts w:eastAsia="Arial" w:cs="Arial"/>
          <w:b/>
          <w:bCs/>
          <w:color w:val="2E75B6"/>
          <w:sz w:val="28"/>
          <w:szCs w:val="28"/>
        </w:rPr>
      </w:r>
    </w:p>
    <w:p>
      <w:pPr>
        <w:pStyle w:val="Heading21"/>
        <w:rPr>
          <w:rFonts w:eastAsia="Arial" w:cs="Arial"/>
          <w:b/>
          <w:bCs/>
          <w:color w:val="2E75B6"/>
          <w:sz w:val="28"/>
          <w:szCs w:val="28"/>
        </w:rPr>
      </w:pPr>
      <w:r>
        <w:rPr>
          <w:rFonts w:eastAsia="Arial" w:cs="Arial"/>
          <w:b/>
          <w:bCs/>
          <w:color w:val="2E75B6"/>
          <w:sz w:val="28"/>
          <w:szCs w:val="28"/>
        </w:rPr>
        <w:t>4.3 Domínio de Valores (Status e Flags)</w:t>
      </w:r>
    </w:p>
    <w:tbl>
      <w:tblPr>
        <w:tblW w:w="9638" w:type="dxa"/>
        <w:jc w:val="start"/>
        <w:tblInd w:w="0" w:type="dxa"/>
        <w:tblLayout w:type="fixed"/>
        <w:tblCellMar>
          <w:top w:w="80" w:type="dxa"/>
          <w:start w:w="120" w:type="dxa"/>
          <w:bottom w:w="80" w:type="dxa"/>
          <w:end w:w="120" w:type="dxa"/>
        </w:tblCellMar>
      </w:tblPr>
      <w:tblGrid>
        <w:gridCol w:w="2200"/>
        <w:gridCol w:w="1492"/>
        <w:gridCol w:w="786"/>
        <w:gridCol w:w="1518"/>
        <w:gridCol w:w="3642"/>
      </w:tblGrid>
      <w:tr>
        <w:trPr>
          <w:tblHeader w:val="true"/>
        </w:trPr>
        <w:tc>
          <w:tcPr>
            <w:tcW w:w="22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Tabela</w:t>
            </w:r>
          </w:p>
        </w:tc>
        <w:tc>
          <w:tcPr>
            <w:tcW w:w="1492"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Coluna</w:t>
            </w:r>
          </w:p>
        </w:tc>
        <w:tc>
          <w:tcPr>
            <w:tcW w:w="78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Valor</w:t>
            </w:r>
          </w:p>
        </w:tc>
        <w:tc>
          <w:tcPr>
            <w:tcW w:w="151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Significado</w:t>
            </w:r>
          </w:p>
        </w:tc>
        <w:tc>
          <w:tcPr>
            <w:tcW w:w="3642"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Comportamento no Sistema</w:t>
            </w:r>
          </w:p>
        </w:tc>
      </w:tr>
      <w:tr>
        <w:trPr/>
        <w:tc>
          <w:tcPr>
            <w:tcW w:w="22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TRA_transacao</w:t>
            </w:r>
          </w:p>
        </w:tc>
        <w:tc>
          <w:tcPr>
            <w:tcW w:w="149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tra_st_transacao</w:t>
            </w:r>
          </w:p>
        </w:tc>
        <w:tc>
          <w:tcPr>
            <w:tcW w:w="78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'P'</w:t>
            </w:r>
          </w:p>
        </w:tc>
        <w:tc>
          <w:tcPr>
            <w:tcW w:w="151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Pendente</w:t>
            </w:r>
          </w:p>
        </w:tc>
        <w:tc>
          <w:tcPr>
            <w:tcW w:w="364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Estado inicial (DEFAULT). Transação aguardando confirmação do gateway de pagamento. Fluxo: P -&gt; C ou P -&gt; X.</w:t>
            </w:r>
          </w:p>
        </w:tc>
      </w:tr>
      <w:tr>
        <w:trPr/>
        <w:tc>
          <w:tcPr>
            <w:tcW w:w="22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TRA_transacao</w:t>
            </w:r>
          </w:p>
        </w:tc>
        <w:tc>
          <w:tcPr>
            <w:tcW w:w="1492"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tra_st_transacao</w:t>
            </w:r>
          </w:p>
        </w:tc>
        <w:tc>
          <w:tcPr>
            <w:tcW w:w="78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'C'</w:t>
            </w:r>
          </w:p>
        </w:tc>
        <w:tc>
          <w:tcPr>
            <w:tcW w:w="151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Concluída</w:t>
            </w:r>
          </w:p>
        </w:tc>
        <w:tc>
          <w:tcPr>
            <w:tcW w:w="3642"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Pagamento confirmado e ingressos emitidos com sucesso.</w:t>
            </w:r>
          </w:p>
        </w:tc>
      </w:tr>
      <w:tr>
        <w:trPr/>
        <w:tc>
          <w:tcPr>
            <w:tcW w:w="22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TRA_transacao</w:t>
            </w:r>
          </w:p>
        </w:tc>
        <w:tc>
          <w:tcPr>
            <w:tcW w:w="149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tra_st_transacao</w:t>
            </w:r>
          </w:p>
        </w:tc>
        <w:tc>
          <w:tcPr>
            <w:tcW w:w="78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'X'</w:t>
            </w:r>
          </w:p>
        </w:tc>
        <w:tc>
          <w:tcPr>
            <w:tcW w:w="151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Cancelada</w:t>
            </w:r>
          </w:p>
        </w:tc>
        <w:tc>
          <w:tcPr>
            <w:tcW w:w="364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Estorno aplicado. Todos os ingressos da transação passam para 'C'.</w:t>
            </w:r>
          </w:p>
        </w:tc>
      </w:tr>
      <w:tr>
        <w:trPr/>
        <w:tc>
          <w:tcPr>
            <w:tcW w:w="22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ING_ingresso</w:t>
            </w:r>
          </w:p>
        </w:tc>
        <w:tc>
          <w:tcPr>
            <w:tcW w:w="1492"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ing_st_ingresso</w:t>
            </w:r>
          </w:p>
        </w:tc>
        <w:tc>
          <w:tcPr>
            <w:tcW w:w="78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'A'</w:t>
            </w:r>
          </w:p>
        </w:tc>
        <w:tc>
          <w:tcPr>
            <w:tcW w:w="151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Ativo</w:t>
            </w:r>
          </w:p>
        </w:tc>
        <w:tc>
          <w:tcPr>
            <w:tcW w:w="3642"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Estado inicial (DEFAULT). Ingresso válido para uso na catraca.</w:t>
            </w:r>
          </w:p>
        </w:tc>
      </w:tr>
      <w:tr>
        <w:trPr/>
        <w:tc>
          <w:tcPr>
            <w:tcW w:w="22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ING_ingresso</w:t>
            </w:r>
          </w:p>
        </w:tc>
        <w:tc>
          <w:tcPr>
            <w:tcW w:w="149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ing_st_ingresso</w:t>
            </w:r>
          </w:p>
        </w:tc>
        <w:tc>
          <w:tcPr>
            <w:tcW w:w="78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'U'</w:t>
            </w:r>
          </w:p>
        </w:tc>
        <w:tc>
          <w:tcPr>
            <w:tcW w:w="151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Utilizado</w:t>
            </w:r>
          </w:p>
        </w:tc>
        <w:tc>
          <w:tcPr>
            <w:tcW w:w="364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Código validado na entrada do evento. Impede reentrada e bloqueia cancelamento da transação.</w:t>
            </w:r>
          </w:p>
        </w:tc>
      </w:tr>
      <w:tr>
        <w:trPr/>
        <w:tc>
          <w:tcPr>
            <w:tcW w:w="22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ING_ingresso</w:t>
            </w:r>
          </w:p>
        </w:tc>
        <w:tc>
          <w:tcPr>
            <w:tcW w:w="1492"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ing_st_ingresso</w:t>
            </w:r>
          </w:p>
        </w:tc>
        <w:tc>
          <w:tcPr>
            <w:tcW w:w="78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'C'</w:t>
            </w:r>
          </w:p>
        </w:tc>
        <w:tc>
          <w:tcPr>
            <w:tcW w:w="151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Cancelado</w:t>
            </w:r>
          </w:p>
        </w:tc>
        <w:tc>
          <w:tcPr>
            <w:tcW w:w="3642"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Ingresso invalidado pela Procedure de estorno. Não pode ser usado na catraca.</w:t>
            </w:r>
          </w:p>
        </w:tc>
      </w:tr>
      <w:tr>
        <w:trPr/>
        <w:tc>
          <w:tcPr>
            <w:tcW w:w="22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WEB_webhook</w:t>
            </w:r>
          </w:p>
        </w:tc>
        <w:tc>
          <w:tcPr>
            <w:tcW w:w="149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web_ch_ativo</w:t>
            </w:r>
          </w:p>
        </w:tc>
        <w:tc>
          <w:tcPr>
            <w:tcW w:w="786"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w:t>
            </w:r>
          </w:p>
        </w:tc>
        <w:tc>
          <w:tcPr>
            <w:tcW w:w="151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Ativo</w:t>
            </w:r>
          </w:p>
        </w:tc>
        <w:tc>
          <w:tcPr>
            <w:tcW w:w="3642"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Sistema enviará notificações para esta URL (DEFAULT).</w:t>
            </w:r>
          </w:p>
        </w:tc>
      </w:tr>
      <w:tr>
        <w:trPr>
          <w:trHeight w:val="665" w:hRule="atLeast"/>
        </w:trPr>
        <w:tc>
          <w:tcPr>
            <w:tcW w:w="22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WEB_webhook</w:t>
            </w:r>
          </w:p>
        </w:tc>
        <w:tc>
          <w:tcPr>
            <w:tcW w:w="1492"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web_ch_ativo</w:t>
            </w:r>
          </w:p>
        </w:tc>
        <w:tc>
          <w:tcPr>
            <w:tcW w:w="786"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'N'</w:t>
            </w:r>
          </w:p>
        </w:tc>
        <w:tc>
          <w:tcPr>
            <w:tcW w:w="151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Inativo</w:t>
            </w:r>
          </w:p>
        </w:tc>
        <w:tc>
          <w:tcPr>
            <w:tcW w:w="3642"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Disparos pausados. URL ignorada até reativação.</w:t>
            </w:r>
          </w:p>
        </w:tc>
      </w:tr>
    </w:tbl>
    <w:p>
      <w:pPr>
        <w:pStyle w:val="Heading11"/>
        <w:spacing w:before="0" w:after="0"/>
        <w:rPr/>
      </w:pPr>
      <w:r>
        <w:br w:type="page"/>
      </w:r>
      <w:r>
        <w:rPr>
          <w:rFonts w:eastAsia="Arial" w:cs="Arial"/>
          <w:b/>
          <w:bCs/>
          <w:color w:val="1F4E79"/>
          <w:sz w:val="36"/>
          <w:szCs w:val="36"/>
        </w:rPr>
        <w:t>5</w:t>
      </w:r>
      <w:r>
        <w:rPr>
          <w:rFonts w:eastAsia="Arial" w:cs="Arial"/>
          <w:b/>
          <w:bCs/>
          <w:color w:val="1F4E79"/>
          <w:sz w:val="36"/>
          <w:szCs w:val="36"/>
        </w:rPr>
        <w:t xml:space="preserve">. </w:t>
      </w:r>
      <w:r>
        <w:rPr>
          <w:rFonts w:eastAsia="Arial" w:cs="Arial"/>
          <w:b/>
          <w:bCs/>
          <w:color w:val="1F4E79"/>
          <w:sz w:val="36"/>
          <w:szCs w:val="36"/>
        </w:rPr>
        <w:t>Detalhes Banco de Dados</w:t>
      </w:r>
    </w:p>
    <w:p>
      <w:pPr>
        <w:pStyle w:val="Heading21"/>
        <w:rPr/>
      </w:pPr>
      <w:r>
        <w:rPr>
          <w:rFonts w:eastAsia="Arial" w:cs="Arial"/>
          <w:b/>
          <w:bCs/>
          <w:color w:val="2E75B6"/>
          <w:sz w:val="28"/>
          <w:szCs w:val="28"/>
        </w:rPr>
        <w:t>5.</w:t>
      </w:r>
      <w:r>
        <w:rPr>
          <w:rFonts w:eastAsia="Arial" w:cs="Arial"/>
          <w:b/>
          <w:bCs/>
          <w:color w:val="2E75B6"/>
          <w:sz w:val="28"/>
          <w:szCs w:val="28"/>
        </w:rPr>
        <w:t>1</w:t>
      </w:r>
      <w:r>
        <w:rPr>
          <w:rFonts w:eastAsia="Arial" w:cs="Arial"/>
          <w:b/>
          <w:bCs/>
          <w:color w:val="2E75B6"/>
          <w:sz w:val="28"/>
          <w:szCs w:val="28"/>
        </w:rPr>
        <w:t xml:space="preserve"> View — VW_resumo_vendas_evento</w:t>
      </w:r>
    </w:p>
    <w:p>
      <w:pPr>
        <w:pStyle w:val="Normal"/>
        <w:spacing w:before="60" w:after="60"/>
        <w:jc w:val="both"/>
        <w:rPr>
          <w:rFonts w:eastAsia="Arial" w:cs="Arial"/>
          <w:color w:val="404040"/>
          <w:sz w:val="22"/>
          <w:szCs w:val="22"/>
        </w:rPr>
      </w:pPr>
      <w:r>
        <w:rPr>
          <w:rFonts w:eastAsia="Arial" w:cs="Arial"/>
          <w:color w:val="404040"/>
          <w:sz w:val="22"/>
          <w:szCs w:val="22"/>
        </w:rPr>
        <w:t>Consolida em tempo real os dados de vendas de todos os eventos. Utilizada pelo Java como ponto único de consulta de relatórios, evitando queries complexas no código da aplicação.</w:t>
      </w:r>
    </w:p>
    <w:p>
      <w:pPr>
        <w:pStyle w:val="Heading21"/>
        <w:rPr/>
      </w:pPr>
      <w:r>
        <w:rPr>
          <w:rFonts w:eastAsia="Arial" w:cs="Arial"/>
          <w:b/>
          <w:bCs/>
          <w:color w:val="2E75B6"/>
          <w:sz w:val="28"/>
          <w:szCs w:val="28"/>
        </w:rPr>
        <w:t>5.</w:t>
      </w:r>
      <w:r>
        <w:rPr>
          <w:rFonts w:eastAsia="Arial" w:cs="Arial"/>
          <w:b/>
          <w:bCs/>
          <w:color w:val="2E75B6"/>
          <w:sz w:val="28"/>
          <w:szCs w:val="28"/>
        </w:rPr>
        <w:t>2</w:t>
      </w:r>
      <w:r>
        <w:rPr>
          <w:rFonts w:eastAsia="Arial" w:cs="Arial"/>
          <w:b/>
          <w:bCs/>
          <w:color w:val="2E75B6"/>
          <w:sz w:val="28"/>
          <w:szCs w:val="28"/>
        </w:rPr>
        <w:t xml:space="preserve"> Functions e Trigger — Anti-Overbookin</w:t>
      </w:r>
    </w:p>
    <w:p>
      <w:pPr>
        <w:pStyle w:val="Heading31"/>
        <w:rPr>
          <w:rFonts w:eastAsia="Arial" w:cs="Arial"/>
          <w:b/>
          <w:bCs/>
          <w:color w:val="404040"/>
          <w:sz w:val="24"/>
          <w:szCs w:val="24"/>
        </w:rPr>
      </w:pPr>
      <w:r>
        <w:rPr>
          <w:rFonts w:eastAsia="Arial" w:cs="Arial"/>
          <w:b/>
          <w:bCs/>
          <w:color w:val="404040"/>
          <w:sz w:val="24"/>
          <w:szCs w:val="24"/>
        </w:rPr>
        <w:t>FN_calcular_capacidade_restante</w:t>
      </w:r>
    </w:p>
    <w:p>
      <w:pPr>
        <w:pStyle w:val="Normal"/>
        <w:spacing w:before="60" w:after="60"/>
        <w:jc w:val="both"/>
        <w:rPr>
          <w:rFonts w:eastAsia="Arial" w:cs="Arial"/>
          <w:color w:val="404040"/>
          <w:sz w:val="22"/>
          <w:szCs w:val="22"/>
        </w:rPr>
      </w:pPr>
      <w:r>
        <w:rPr>
          <w:rFonts w:eastAsia="Arial" w:cs="Arial"/>
          <w:color w:val="404040"/>
          <w:sz w:val="22"/>
          <w:szCs w:val="22"/>
        </w:rPr>
        <w:t>Stored Function PL/pgSQL que recebe o ID de um evento e retorna a quantidade de vagas disponíveis. Cálculo real: capacidade total do evento menos ingressos com status Ativo (A) ou Utilizado (U).</w:t>
      </w:r>
    </w:p>
    <w:p>
      <w:pPr>
        <w:pStyle w:val="Normal"/>
        <w:spacing w:before="60" w:after="60"/>
        <w:rPr/>
      </w:pPr>
      <w:r>
        <w:rPr/>
      </w:r>
    </w:p>
    <w:p>
      <w:pPr>
        <w:pStyle w:val="Heading31"/>
        <w:rPr>
          <w:rFonts w:eastAsia="Arial" w:cs="Arial"/>
          <w:b/>
          <w:bCs/>
          <w:color w:val="404040"/>
          <w:sz w:val="24"/>
          <w:szCs w:val="24"/>
        </w:rPr>
      </w:pPr>
      <w:r>
        <w:rPr>
          <w:rFonts w:eastAsia="Arial" w:cs="Arial"/>
          <w:b/>
          <w:bCs/>
          <w:color w:val="404040"/>
          <w:sz w:val="24"/>
          <w:szCs w:val="24"/>
        </w:rPr>
        <w:t>FN_TG_validar_venda — Função do Gatilho</w:t>
      </w:r>
    </w:p>
    <w:p>
      <w:pPr>
        <w:pStyle w:val="Normal"/>
        <w:spacing w:before="60" w:after="60"/>
        <w:jc w:val="both"/>
        <w:rPr>
          <w:rFonts w:eastAsia="Arial" w:cs="Arial"/>
          <w:color w:val="404040"/>
          <w:sz w:val="22"/>
          <w:szCs w:val="22"/>
        </w:rPr>
      </w:pPr>
      <w:r>
        <w:rPr>
          <w:rFonts w:eastAsia="Arial" w:cs="Arial"/>
          <w:color w:val="404040"/>
          <w:sz w:val="22"/>
          <w:szCs w:val="22"/>
        </w:rPr>
        <w:t>Executa duas validações obrigatórias antes de cada emissão de ingresso: (1) capacidade total do evento e (2) capacidade do lote específico. Qualquer falha gera EXCEPTION e força ROLLBACK automático da transação.</w:t>
      </w:r>
    </w:p>
    <w:p>
      <w:pPr>
        <w:pStyle w:val="Heading21"/>
        <w:rPr/>
      </w:pPr>
      <w:r>
        <w:rPr>
          <w:rFonts w:eastAsia="Arial" w:cs="Arial"/>
          <w:b/>
          <w:bCs/>
          <w:color w:val="2E75B6"/>
          <w:sz w:val="28"/>
          <w:szCs w:val="28"/>
        </w:rPr>
        <w:t>5.</w:t>
      </w:r>
      <w:r>
        <w:rPr>
          <w:rFonts w:eastAsia="Arial" w:cs="Arial"/>
          <w:b/>
          <w:bCs/>
          <w:color w:val="2E75B6"/>
          <w:sz w:val="28"/>
          <w:szCs w:val="28"/>
        </w:rPr>
        <w:t>3</w:t>
      </w:r>
      <w:r>
        <w:rPr>
          <w:rFonts w:eastAsia="Arial" w:cs="Arial"/>
          <w:b/>
          <w:bCs/>
          <w:color w:val="2E75B6"/>
          <w:sz w:val="28"/>
          <w:szCs w:val="28"/>
        </w:rPr>
        <w:t xml:space="preserve"> Procedure — PR_cancelar_transacao</w:t>
      </w:r>
    </w:p>
    <w:p>
      <w:pPr>
        <w:pStyle w:val="Normal"/>
        <w:spacing w:before="60" w:after="60"/>
        <w:jc w:val="both"/>
        <w:rPr>
          <w:rFonts w:eastAsia="Arial" w:cs="Arial"/>
          <w:color w:val="404040"/>
          <w:sz w:val="22"/>
          <w:szCs w:val="22"/>
        </w:rPr>
      </w:pPr>
      <w:r>
        <w:rPr>
          <w:rFonts w:eastAsia="Arial" w:cs="Arial"/>
          <w:color w:val="404040"/>
          <w:sz w:val="22"/>
          <w:szCs w:val="22"/>
        </w:rPr>
        <w:t>Stored Procedure PL/pgSQL que executa o cancelamento lógico de uma transação com cinco validações sequenciais antes de aplicar qualquer modificação. Opera sob princípio ACID: ou todas as alterações são aplicadas, ou nenhuma.</w:t>
      </w:r>
    </w:p>
    <w:p>
      <w:pPr>
        <w:pStyle w:val="Normal"/>
        <w:spacing w:before="60" w:after="60"/>
        <w:rPr/>
      </w:pPr>
      <w:r>
        <w:rPr/>
      </w:r>
    </w:p>
    <w:tbl>
      <w:tblPr>
        <w:tblW w:w="9638" w:type="dxa"/>
        <w:jc w:val="start"/>
        <w:tblInd w:w="0" w:type="dxa"/>
        <w:tblLayout w:type="fixed"/>
        <w:tblCellMar>
          <w:top w:w="80" w:type="dxa"/>
          <w:start w:w="120" w:type="dxa"/>
          <w:bottom w:w="80" w:type="dxa"/>
          <w:end w:w="120" w:type="dxa"/>
        </w:tblCellMar>
      </w:tblPr>
      <w:tblGrid>
        <w:gridCol w:w="600"/>
        <w:gridCol w:w="2400"/>
        <w:gridCol w:w="6638"/>
      </w:tblGrid>
      <w:tr>
        <w:trPr>
          <w:tblHeader w:val="true"/>
        </w:trPr>
        <w:tc>
          <w:tcPr>
            <w:tcW w:w="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w:t>
            </w:r>
          </w:p>
        </w:tc>
        <w:tc>
          <w:tcPr>
            <w:tcW w:w="24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Validação</w:t>
            </w:r>
          </w:p>
        </w:tc>
        <w:tc>
          <w:tcPr>
            <w:tcW w:w="663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Lógica Aplicada</w:t>
            </w:r>
          </w:p>
        </w:tc>
      </w:tr>
      <w:tr>
        <w:trPr/>
        <w:tc>
          <w:tcPr>
            <w:tcW w:w="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1</w:t>
            </w:r>
          </w:p>
        </w:tc>
        <w:tc>
          <w:tcPr>
            <w:tcW w:w="24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Existência</w:t>
            </w:r>
          </w:p>
        </w:tc>
        <w:tc>
          <w:tcPr>
            <w:tcW w:w="66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Busca a transação com FOR UPDATE (lock pessimista). EXCEPTION se não encontrada.</w:t>
            </w:r>
          </w:p>
        </w:tc>
      </w:tr>
      <w:tr>
        <w:trPr/>
        <w:tc>
          <w:tcPr>
            <w:tcW w:w="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2</w:t>
            </w:r>
          </w:p>
        </w:tc>
        <w:tc>
          <w:tcPr>
            <w:tcW w:w="24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Titularidade</w:t>
            </w:r>
          </w:p>
        </w:tc>
        <w:tc>
          <w:tcPr>
            <w:tcW w:w="66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Compara tra_id_comprador com o ID do solicitante. EXCEPTION se divergir.</w:t>
            </w:r>
          </w:p>
        </w:tc>
      </w:tr>
      <w:tr>
        <w:trPr/>
        <w:tc>
          <w:tcPr>
            <w:tcW w:w="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3</w:t>
            </w:r>
          </w:p>
        </w:tc>
        <w:tc>
          <w:tcPr>
            <w:tcW w:w="24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Status da transação</w:t>
            </w:r>
          </w:p>
        </w:tc>
        <w:tc>
          <w:tcPr>
            <w:tcW w:w="66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Verifica se a transação já está cancelada ('X'). EXCEPTION se redundante.</w:t>
            </w:r>
          </w:p>
        </w:tc>
      </w:tr>
      <w:tr>
        <w:trPr/>
        <w:tc>
          <w:tcPr>
            <w:tcW w:w="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4</w:t>
            </w:r>
          </w:p>
        </w:tc>
        <w:tc>
          <w:tcPr>
            <w:tcW w:w="24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Ingresso utilizado</w:t>
            </w:r>
          </w:p>
        </w:tc>
        <w:tc>
          <w:tcPr>
            <w:tcW w:w="66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Verifica se existe algum ingresso com status 'U' na transação. Se sim, EXCEPTION.</w:t>
            </w:r>
          </w:p>
        </w:tc>
      </w:tr>
      <w:tr>
        <w:trPr/>
        <w:tc>
          <w:tcPr>
            <w:tcW w:w="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5</w:t>
            </w:r>
          </w:p>
        </w:tc>
        <w:tc>
          <w:tcPr>
            <w:tcW w:w="24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Janela temporal</w:t>
            </w:r>
          </w:p>
        </w:tc>
        <w:tc>
          <w:tcPr>
            <w:tcW w:w="66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Verifica via JOIN se eve_dt_evento &gt; CURRENT_TIMESTAMP. EXCEPTION se evento já iniciou.</w:t>
            </w:r>
          </w:p>
        </w:tc>
      </w:tr>
    </w:tbl>
    <w:p>
      <w:pPr>
        <w:pStyle w:val="Normal"/>
        <w:spacing w:before="60" w:after="60"/>
        <w:rPr/>
      </w:pPr>
      <w:r>
        <w:rPr/>
      </w:r>
    </w:p>
    <w:p>
      <w:pPr>
        <w:pStyle w:val="Heading11"/>
        <w:spacing w:before="0" w:after="0"/>
        <w:rPr/>
      </w:pPr>
      <w:r>
        <w:rPr>
          <w:rFonts w:eastAsia="Arial" w:cs="Arial"/>
          <w:b/>
          <w:bCs/>
          <w:color w:val="1F4E79"/>
          <w:sz w:val="36"/>
          <w:szCs w:val="36"/>
        </w:rPr>
        <w:t>6</w:t>
      </w:r>
      <w:r>
        <w:rPr>
          <w:rFonts w:eastAsia="Arial" w:cs="Arial"/>
          <w:b/>
          <w:bCs/>
          <w:color w:val="1F4E79"/>
          <w:sz w:val="36"/>
          <w:szCs w:val="36"/>
        </w:rPr>
        <w:t>. Recursos Avançados — Explicação Técnica</w:t>
      </w:r>
    </w:p>
    <w:p>
      <w:pPr>
        <w:pStyle w:val="Heading21"/>
        <w:rPr/>
      </w:pPr>
      <w:r>
        <w:rPr>
          <w:rFonts w:eastAsia="Arial" w:cs="Arial"/>
          <w:b/>
          <w:bCs/>
          <w:color w:val="2E75B6"/>
          <w:sz w:val="28"/>
          <w:szCs w:val="28"/>
        </w:rPr>
        <w:t>6</w:t>
      </w:r>
      <w:r>
        <w:rPr>
          <w:rFonts w:eastAsia="Arial" w:cs="Arial"/>
          <w:b/>
          <w:bCs/>
          <w:color w:val="2E75B6"/>
          <w:sz w:val="28"/>
          <w:szCs w:val="28"/>
        </w:rPr>
        <w:t>.1 Function — FN_calcular_capacidade_restante</w:t>
      </w:r>
    </w:p>
    <w:p>
      <w:pPr>
        <w:pStyle w:val="Heading31"/>
        <w:rPr>
          <w:rFonts w:eastAsia="Arial" w:cs="Arial"/>
          <w:b/>
          <w:bCs/>
          <w:color w:val="404040"/>
          <w:sz w:val="24"/>
          <w:szCs w:val="24"/>
        </w:rPr>
      </w:pPr>
      <w:r>
        <w:rPr>
          <w:rFonts w:eastAsia="Arial" w:cs="Arial"/>
          <w:b/>
          <w:bCs/>
          <w:color w:val="404040"/>
          <w:sz w:val="24"/>
          <w:szCs w:val="24"/>
        </w:rPr>
        <w:t>O que ela é</w:t>
      </w:r>
    </w:p>
    <w:p>
      <w:pPr>
        <w:pStyle w:val="Normal"/>
        <w:spacing w:before="60" w:after="60"/>
        <w:jc w:val="both"/>
        <w:rPr>
          <w:rFonts w:eastAsia="Arial" w:cs="Arial"/>
          <w:color w:val="404040"/>
          <w:sz w:val="22"/>
          <w:szCs w:val="22"/>
        </w:rPr>
      </w:pPr>
      <w:r>
        <w:rPr>
          <w:rFonts w:eastAsia="Arial" w:cs="Arial"/>
          <w:color w:val="404040"/>
          <w:sz w:val="22"/>
          <w:szCs w:val="22"/>
        </w:rPr>
        <w:t>Uma Stored Function PL/pgSQL que encapsula um cálculo real de negócio no nível do banco de dados. Funções no PostgreSQL são reutilizáveis, parametrizadas e executam com todos os privilégios e otimizações do SGBD.</w:t>
      </w:r>
    </w:p>
    <w:p>
      <w:pPr>
        <w:pStyle w:val="Heading31"/>
        <w:rPr>
          <w:rFonts w:eastAsia="Arial" w:cs="Arial"/>
          <w:b/>
          <w:bCs/>
          <w:color w:val="404040"/>
          <w:sz w:val="24"/>
          <w:szCs w:val="24"/>
        </w:rPr>
      </w:pPr>
      <w:r>
        <w:rPr>
          <w:rFonts w:eastAsia="Arial" w:cs="Arial"/>
          <w:b/>
          <w:bCs/>
          <w:color w:val="404040"/>
          <w:sz w:val="24"/>
          <w:szCs w:val="24"/>
        </w:rPr>
        <w:t>O cálculo real que ela realiza</w:t>
      </w:r>
    </w:p>
    <w:p>
      <w:pPr>
        <w:pStyle w:val="Normal"/>
        <w:spacing w:before="60" w:after="60"/>
        <w:jc w:val="both"/>
        <w:rPr>
          <w:rFonts w:eastAsia="Arial" w:cs="Arial"/>
          <w:color w:val="404040"/>
          <w:sz w:val="22"/>
          <w:szCs w:val="22"/>
        </w:rPr>
      </w:pPr>
      <w:r>
        <w:rPr>
          <w:rFonts w:eastAsia="Arial" w:cs="Arial"/>
          <w:color w:val="404040"/>
          <w:sz w:val="22"/>
          <w:szCs w:val="22"/>
        </w:rPr>
        <w:t>A função recebe o ID de um evento (p_id_evento) e executa dois SELECTs: o primeiro recupera a capacidade máxima do recinto (eve_qt_capacidade); o segundo conta todos os ingressos com status 'A' (Ativo) ou 'U' (Utilizado) associados a qualquer lote desse evento via JOIN. O retorno é a subtração: capacidade_total - ingressos_ocupados, representando o número exato de vagas ainda disponíveis.</w:t>
      </w:r>
    </w:p>
    <w:p>
      <w:pPr>
        <w:pStyle w:val="Heading31"/>
        <w:rPr/>
      </w:pPr>
      <w:r>
        <w:rPr>
          <w:rFonts w:eastAsia="Arial" w:cs="Arial"/>
          <w:b/>
          <w:bCs/>
          <w:color w:val="404040"/>
          <w:sz w:val="24"/>
          <w:szCs w:val="24"/>
        </w:rPr>
        <w:t>Por que no banco e não no Java</w:t>
      </w:r>
    </w:p>
    <w:p>
      <w:pPr>
        <w:pStyle w:val="Normal"/>
        <w:spacing w:before="60" w:after="60"/>
        <w:jc w:val="both"/>
        <w:rPr>
          <w:rFonts w:eastAsia="Arial" w:cs="Arial"/>
          <w:color w:val="404040"/>
          <w:sz w:val="22"/>
          <w:szCs w:val="22"/>
        </w:rPr>
      </w:pPr>
      <w:r>
        <w:rPr>
          <w:rFonts w:eastAsia="Arial" w:cs="Arial"/>
          <w:color w:val="404040"/>
          <w:sz w:val="22"/>
          <w:szCs w:val="22"/>
        </w:rPr>
        <w:t>Implementar este cálculo no Java exigiria duas queries separadas e exporia uma janela de tempo entre a leitura e a decisão (race condition). No banco, a função é chamada dentro do Trigger, que já opera com lock de linha, garantindo consistência mesmo sob concorrência intensa.</w:t>
      </w:r>
    </w:p>
    <w:p>
      <w:pPr>
        <w:pStyle w:val="Heading31"/>
        <w:rPr>
          <w:rFonts w:eastAsia="Arial" w:cs="Arial"/>
          <w:b/>
          <w:bCs/>
          <w:color w:val="404040"/>
          <w:sz w:val="24"/>
          <w:szCs w:val="24"/>
        </w:rPr>
      </w:pPr>
      <w:r>
        <w:rPr>
          <w:rFonts w:eastAsia="Arial" w:cs="Arial"/>
          <w:b/>
          <w:bCs/>
          <w:color w:val="404040"/>
          <w:sz w:val="24"/>
          <w:szCs w:val="24"/>
        </w:rPr>
        <w:t>Como o Java a utiliza</w:t>
      </w:r>
    </w:p>
    <w:p>
      <w:pPr>
        <w:pStyle w:val="BodyText"/>
        <w:spacing w:before="60" w:after="60"/>
        <w:jc w:val="both"/>
        <w:rPr/>
      </w:pPr>
      <w:r>
        <w:rPr>
          <w:rFonts w:eastAsia="Arial" w:cs="Arial"/>
          <w:color w:val="404040"/>
          <w:sz w:val="22"/>
          <w:szCs w:val="22"/>
        </w:rPr>
        <w:t xml:space="preserve">Via </w:t>
      </w:r>
      <w:r>
        <w:rPr>
          <w:rFonts w:eastAsia="Arial" w:cs="Arial"/>
          <w:color w:val="404040"/>
          <w:sz w:val="22"/>
          <w:szCs w:val="22"/>
          <w:u w:val="single"/>
        </w:rPr>
        <w:t>PreparedStatement</w:t>
      </w:r>
      <w:r>
        <w:rPr>
          <w:rFonts w:eastAsia="Arial" w:cs="Arial"/>
          <w:color w:val="404040"/>
          <w:sz w:val="22"/>
          <w:szCs w:val="22"/>
        </w:rPr>
        <w:t xml:space="preserve"> com </w:t>
      </w:r>
      <w:r>
        <w:rPr>
          <w:rFonts w:eastAsia="Arial" w:cs="Arial"/>
          <w:color w:val="404040"/>
          <w:sz w:val="22"/>
          <w:szCs w:val="22"/>
        </w:rPr>
        <w:t>SELECT FN_calcular_capacidade_restante(?). O resultado é lido com cs.getInt(1) e exibido ao usuário como informação de disponibilidade antes de ele iniciar uma compra.</w:t>
      </w:r>
    </w:p>
    <w:p>
      <w:pPr>
        <w:pStyle w:val="Heading21"/>
        <w:rPr/>
      </w:pPr>
      <w:r>
        <w:rPr>
          <w:rFonts w:eastAsia="Arial" w:cs="Arial"/>
          <w:b/>
          <w:bCs/>
          <w:color w:val="2E75B6"/>
          <w:sz w:val="28"/>
          <w:szCs w:val="28"/>
        </w:rPr>
        <w:t>6</w:t>
      </w:r>
      <w:r>
        <w:rPr>
          <w:rFonts w:eastAsia="Arial" w:cs="Arial"/>
          <w:b/>
          <w:bCs/>
          <w:color w:val="2E75B6"/>
          <w:sz w:val="28"/>
          <w:szCs w:val="28"/>
        </w:rPr>
        <w:t>.2 Procedure — PR_cancelar_transacao</w:t>
      </w:r>
    </w:p>
    <w:p>
      <w:pPr>
        <w:pStyle w:val="Heading31"/>
        <w:rPr>
          <w:rFonts w:eastAsia="Arial" w:cs="Arial"/>
          <w:b/>
          <w:bCs/>
          <w:color w:val="404040"/>
          <w:sz w:val="24"/>
          <w:szCs w:val="24"/>
        </w:rPr>
      </w:pPr>
      <w:r>
        <w:rPr>
          <w:rFonts w:eastAsia="Arial" w:cs="Arial"/>
          <w:b/>
          <w:bCs/>
          <w:color w:val="404040"/>
          <w:sz w:val="24"/>
          <w:szCs w:val="24"/>
        </w:rPr>
        <w:t>O que ela é</w:t>
      </w:r>
    </w:p>
    <w:p>
      <w:pPr>
        <w:pStyle w:val="Normal"/>
        <w:spacing w:before="60" w:after="60"/>
        <w:jc w:val="both"/>
        <w:rPr>
          <w:rFonts w:eastAsia="Arial" w:cs="Arial"/>
          <w:color w:val="404040"/>
          <w:sz w:val="22"/>
          <w:szCs w:val="22"/>
        </w:rPr>
      </w:pPr>
      <w:r>
        <w:rPr>
          <w:rFonts w:eastAsia="Arial" w:cs="Arial"/>
          <w:color w:val="404040"/>
          <w:sz w:val="22"/>
          <w:szCs w:val="22"/>
        </w:rPr>
        <w:t>Uma Stored Procedure PL/pgSQL que executa uma ação transacional relevante e complexa no sistema: o cancelamento lógico de uma compra. Diferente de uma Function, uma Procedure não retorna um valor; ela executa efeitos colaterais (UPDATEs) e pode lançar exceções que causam ROLLBACK.</w:t>
      </w:r>
    </w:p>
    <w:p>
      <w:pPr>
        <w:pStyle w:val="Heading31"/>
        <w:rPr>
          <w:rFonts w:eastAsia="Arial" w:cs="Arial"/>
          <w:b/>
          <w:bCs/>
          <w:color w:val="404040"/>
          <w:sz w:val="24"/>
          <w:szCs w:val="24"/>
        </w:rPr>
      </w:pPr>
      <w:r>
        <w:rPr>
          <w:rFonts w:eastAsia="Arial" w:cs="Arial"/>
          <w:b/>
          <w:bCs/>
          <w:color w:val="404040"/>
          <w:sz w:val="24"/>
          <w:szCs w:val="24"/>
        </w:rPr>
        <w:t>Por que transacional</w:t>
      </w:r>
    </w:p>
    <w:p>
      <w:pPr>
        <w:pStyle w:val="Normal"/>
        <w:spacing w:before="60" w:after="60"/>
        <w:jc w:val="both"/>
        <w:rPr>
          <w:rFonts w:eastAsia="Arial" w:cs="Arial"/>
          <w:color w:val="404040"/>
          <w:sz w:val="22"/>
          <w:szCs w:val="22"/>
        </w:rPr>
      </w:pPr>
      <w:r>
        <w:rPr>
          <w:rFonts w:eastAsia="Arial" w:cs="Arial"/>
          <w:color w:val="404040"/>
          <w:sz w:val="22"/>
          <w:szCs w:val="22"/>
        </w:rPr>
        <w:t>A Procedure modifica duas tabelas em sequência: TRA_transacao (status -&gt; 'X') e ING_ingresso (status -&gt; 'C'). Se a segunda operação falhar por qualquer motivo, o PostgreSQL garante que a primeira também seja desfeita, mantendo a consistência: não existe transação cancelada com ingressos ainda ativos.</w:t>
      </w:r>
    </w:p>
    <w:p>
      <w:pPr>
        <w:pStyle w:val="Heading31"/>
        <w:rPr>
          <w:rFonts w:eastAsia="Arial" w:cs="Arial"/>
          <w:b/>
          <w:bCs/>
          <w:color w:val="404040"/>
          <w:sz w:val="24"/>
          <w:szCs w:val="24"/>
        </w:rPr>
      </w:pPr>
      <w:r>
        <w:rPr>
          <w:rFonts w:eastAsia="Arial" w:cs="Arial"/>
          <w:b/>
          <w:bCs/>
          <w:color w:val="404040"/>
          <w:sz w:val="24"/>
          <w:szCs w:val="24"/>
        </w:rPr>
        <w:t>O FOR UPDATE e a prevenção de race condition</w:t>
      </w:r>
    </w:p>
    <w:p>
      <w:pPr>
        <w:pStyle w:val="Normal"/>
        <w:spacing w:before="60" w:after="60"/>
        <w:jc w:val="both"/>
        <w:rPr>
          <w:rFonts w:eastAsia="Arial" w:cs="Arial"/>
          <w:color w:val="404040"/>
          <w:sz w:val="22"/>
          <w:szCs w:val="22"/>
        </w:rPr>
      </w:pPr>
      <w:r>
        <w:rPr>
          <w:rFonts w:eastAsia="Arial" w:cs="Arial"/>
          <w:color w:val="404040"/>
          <w:sz w:val="22"/>
          <w:szCs w:val="22"/>
        </w:rPr>
        <w:t>A primeira operação da Procedure usa SELECT ... FOR UPDATE, que aplica um lock exclusivo na linha da transação. Isso impede que dois usuários (ou dois processos) cancelem a mesma transação simultaneamente, evitando inconsistências em cenários de alta concorrência.</w:t>
      </w:r>
    </w:p>
    <w:p>
      <w:pPr>
        <w:pStyle w:val="Heading31"/>
        <w:rPr>
          <w:rFonts w:eastAsia="Arial" w:cs="Arial"/>
          <w:b/>
          <w:bCs/>
          <w:color w:val="404040"/>
          <w:sz w:val="24"/>
          <w:szCs w:val="24"/>
        </w:rPr>
      </w:pPr>
      <w:r>
        <w:rPr>
          <w:rFonts w:eastAsia="Arial" w:cs="Arial"/>
          <w:b/>
          <w:bCs/>
          <w:color w:val="404040"/>
          <w:sz w:val="24"/>
          <w:szCs w:val="24"/>
        </w:rPr>
        <w:t>Como o Java a utiliza</w:t>
      </w:r>
    </w:p>
    <w:p>
      <w:pPr>
        <w:pStyle w:val="Normal"/>
        <w:spacing w:before="60" w:after="60"/>
        <w:jc w:val="both"/>
        <w:rPr>
          <w:rFonts w:eastAsia="Arial" w:cs="Arial"/>
          <w:color w:val="404040"/>
          <w:sz w:val="22"/>
          <w:szCs w:val="22"/>
        </w:rPr>
      </w:pPr>
      <w:r>
        <w:rPr>
          <w:rFonts w:eastAsia="Arial" w:cs="Arial"/>
          <w:color w:val="404040"/>
          <w:sz w:val="22"/>
          <w:szCs w:val="22"/>
        </w:rPr>
        <w:t>Via CallableStatement com CALL PR_cancelar_transacao(?, ?). As exceções PL/pgSQL (RAISE EXCEPTION) são propagadas pelo driver JDBC como SQLException, com a mensagem de erro do banco acessível via e.getMessage(). O Java captura e repassa a mensagem diretamente à interface Angular.</w:t>
      </w:r>
    </w:p>
    <w:p>
      <w:pPr>
        <w:pStyle w:val="Normal"/>
        <w:spacing w:before="60" w:after="60"/>
        <w:rPr/>
      </w:pPr>
      <w:r>
        <w:rPr/>
      </w:r>
    </w:p>
    <w:p>
      <w:pPr>
        <w:pStyle w:val="Heading21"/>
        <w:rPr/>
      </w:pPr>
      <w:r>
        <w:rPr>
          <w:rFonts w:eastAsia="Arial" w:cs="Arial"/>
          <w:b/>
          <w:bCs/>
          <w:color w:val="2E75B6"/>
          <w:sz w:val="28"/>
          <w:szCs w:val="28"/>
        </w:rPr>
        <w:t>6</w:t>
      </w:r>
      <w:r>
        <w:rPr>
          <w:rFonts w:eastAsia="Arial" w:cs="Arial"/>
          <w:b/>
          <w:bCs/>
          <w:color w:val="2E75B6"/>
          <w:sz w:val="28"/>
          <w:szCs w:val="28"/>
        </w:rPr>
        <w:t>.3 Trigger — TR_validar_lotacao</w:t>
      </w:r>
    </w:p>
    <w:p>
      <w:pPr>
        <w:pStyle w:val="Heading31"/>
        <w:rPr>
          <w:rFonts w:eastAsia="Arial" w:cs="Arial"/>
          <w:b/>
          <w:bCs/>
          <w:color w:val="404040"/>
          <w:sz w:val="24"/>
          <w:szCs w:val="24"/>
        </w:rPr>
      </w:pPr>
      <w:r>
        <w:rPr>
          <w:rFonts w:eastAsia="Arial" w:cs="Arial"/>
          <w:b/>
          <w:bCs/>
          <w:color w:val="404040"/>
          <w:sz w:val="24"/>
          <w:szCs w:val="24"/>
        </w:rPr>
        <w:t>O que é e por que BEFORE INSERT</w:t>
      </w:r>
    </w:p>
    <w:p>
      <w:pPr>
        <w:pStyle w:val="Normal"/>
        <w:spacing w:before="60" w:after="60"/>
        <w:jc w:val="both"/>
        <w:rPr>
          <w:rFonts w:eastAsia="Arial" w:cs="Arial"/>
          <w:color w:val="404040"/>
          <w:sz w:val="22"/>
          <w:szCs w:val="22"/>
        </w:rPr>
      </w:pPr>
      <w:r>
        <w:rPr>
          <w:rFonts w:eastAsia="Arial" w:cs="Arial"/>
          <w:color w:val="404040"/>
          <w:sz w:val="22"/>
          <w:szCs w:val="22"/>
        </w:rPr>
        <w:t>Um Trigger é um objeto do banco que dispara automaticamente em resposta a uma operação DML. O TR_validar_lotacao usa BEFORE INSERT, o que significa que executa antes de a linha ser fisicamente gravada no disco. Se a função de validação lançar uma exceção, o INSERT é abortado sem que nenhum dado seja escrito.</w:t>
      </w:r>
    </w:p>
    <w:p>
      <w:pPr>
        <w:pStyle w:val="Heading31"/>
        <w:rPr>
          <w:rFonts w:eastAsia="Arial" w:cs="Arial"/>
          <w:b/>
          <w:bCs/>
          <w:color w:val="404040"/>
          <w:sz w:val="24"/>
          <w:szCs w:val="24"/>
        </w:rPr>
      </w:pPr>
      <w:r>
        <w:rPr>
          <w:rFonts w:eastAsia="Arial" w:cs="Arial"/>
          <w:b/>
          <w:bCs/>
          <w:color w:val="404040"/>
          <w:sz w:val="24"/>
          <w:szCs w:val="24"/>
        </w:rPr>
        <w:t>Por que é incontornável</w:t>
      </w:r>
    </w:p>
    <w:p>
      <w:pPr>
        <w:pStyle w:val="Normal"/>
        <w:spacing w:before="60" w:after="60"/>
        <w:jc w:val="both"/>
        <w:rPr>
          <w:rFonts w:eastAsia="Arial" w:cs="Arial"/>
          <w:color w:val="404040"/>
          <w:sz w:val="22"/>
          <w:szCs w:val="22"/>
        </w:rPr>
      </w:pPr>
      <w:r>
        <w:rPr>
          <w:rFonts w:eastAsia="Arial" w:cs="Arial"/>
          <w:color w:val="404040"/>
          <w:sz w:val="22"/>
          <w:szCs w:val="22"/>
        </w:rPr>
        <w:t>Por operar no nível do SGBD, o Trigger é ativado independentemente de como o dado é inserido: via Java, via psql na linha de comando, via pgAdmin ou qualquer outro cliente. Não há forma de inserir um ingresso em ING_ingresso sem passar pela validação dupla de capacidade.</w:t>
      </w:r>
    </w:p>
    <w:p>
      <w:pPr>
        <w:pStyle w:val="Heading31"/>
        <w:rPr>
          <w:rFonts w:eastAsia="Arial" w:cs="Arial"/>
          <w:b/>
          <w:bCs/>
          <w:color w:val="404040"/>
          <w:sz w:val="24"/>
          <w:szCs w:val="24"/>
        </w:rPr>
      </w:pPr>
      <w:r>
        <w:rPr>
          <w:rFonts w:eastAsia="Arial" w:cs="Arial"/>
          <w:b/>
          <w:bCs/>
          <w:color w:val="404040"/>
          <w:sz w:val="24"/>
          <w:szCs w:val="24"/>
        </w:rPr>
        <w:t>As duas validações</w:t>
      </w:r>
    </w:p>
    <w:p>
      <w:pPr>
        <w:pStyle w:val="Normal"/>
        <w:spacing w:before="60" w:after="60"/>
        <w:jc w:val="both"/>
        <w:rPr>
          <w:rFonts w:eastAsia="Arial" w:cs="Arial"/>
          <w:color w:val="404040"/>
          <w:sz w:val="22"/>
          <w:szCs w:val="22"/>
        </w:rPr>
      </w:pPr>
      <w:r>
        <w:rPr>
          <w:rFonts w:eastAsia="Arial" w:cs="Arial"/>
          <w:color w:val="404040"/>
          <w:sz w:val="22"/>
          <w:szCs w:val="22"/>
        </w:rPr>
        <w:t>Validação 1 chama FN_calcular_capacidade_restante para verificar se o evento ainda tem vagas globais. Validação 2 conta diretamente na tabela ING_ingresso quantos ingressos ativos existem para o tipo específico (ing_id_tipo_ingresso) e compara com tpi_qt_lote. Se qualquer uma falhar, RAISE EXCEPTION força ROLLBACK imediato.</w:t>
      </w:r>
    </w:p>
    <w:p>
      <w:pPr>
        <w:pStyle w:val="Heading11"/>
        <w:spacing w:before="0" w:after="0"/>
        <w:rPr>
          <w:rFonts w:eastAsia="Arial" w:cs="Arial"/>
          <w:b/>
          <w:bCs/>
          <w:color w:val="1F4E79"/>
          <w:sz w:val="36"/>
          <w:szCs w:val="36"/>
        </w:rPr>
      </w:pPr>
      <w:r>
        <w:rPr>
          <w:rFonts w:eastAsia="Arial" w:cs="Arial"/>
          <w:b/>
          <w:bCs/>
          <w:color w:val="1F4E79"/>
          <w:sz w:val="36"/>
          <w:szCs w:val="36"/>
        </w:rPr>
      </w:r>
    </w:p>
    <w:p>
      <w:pPr>
        <w:pStyle w:val="Heading11"/>
        <w:spacing w:before="0" w:after="0"/>
        <w:rPr/>
      </w:pPr>
      <w:r>
        <w:rPr>
          <w:rFonts w:eastAsia="Arial" w:cs="Arial"/>
          <w:b/>
          <w:bCs/>
          <w:color w:val="1F4E79"/>
          <w:sz w:val="36"/>
          <w:szCs w:val="36"/>
        </w:rPr>
        <w:t>7</w:t>
      </w:r>
      <w:r>
        <w:rPr>
          <w:rFonts w:eastAsia="Arial" w:cs="Arial"/>
          <w:b/>
          <w:bCs/>
          <w:color w:val="1F4E79"/>
          <w:sz w:val="36"/>
          <w:szCs w:val="36"/>
        </w:rPr>
        <w:t>. Conclusão</w:t>
      </w:r>
    </w:p>
    <w:p>
      <w:pPr>
        <w:pStyle w:val="Heading21"/>
        <w:rPr/>
      </w:pPr>
      <w:r>
        <w:rPr>
          <w:rFonts w:eastAsia="Arial" w:cs="Arial"/>
          <w:b/>
          <w:bCs/>
          <w:color w:val="2E75B6"/>
          <w:sz w:val="28"/>
          <w:szCs w:val="28"/>
        </w:rPr>
        <w:t>7</w:t>
      </w:r>
      <w:r>
        <w:rPr>
          <w:rFonts w:eastAsia="Arial" w:cs="Arial"/>
          <w:b/>
          <w:bCs/>
          <w:color w:val="2E75B6"/>
          <w:sz w:val="28"/>
          <w:szCs w:val="28"/>
        </w:rPr>
        <w:t>.1 Aprendizados</w:t>
      </w:r>
    </w:p>
    <w:p>
      <w:pPr>
        <w:pStyle w:val="Normal"/>
        <w:spacing w:before="60" w:after="60"/>
        <w:jc w:val="both"/>
        <w:rPr>
          <w:rFonts w:eastAsia="Arial" w:cs="Arial"/>
          <w:color w:val="404040"/>
          <w:sz w:val="22"/>
          <w:szCs w:val="22"/>
        </w:rPr>
      </w:pPr>
      <w:r>
        <w:rPr>
          <w:rFonts w:eastAsia="Arial" w:cs="Arial"/>
          <w:color w:val="404040"/>
          <w:sz w:val="22"/>
          <w:szCs w:val="22"/>
        </w:rPr>
        <w:t>O desenvolvimento do TicketCore proporcionou aprendizados concretos em múltiplas dimensões técnicas:</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Modelagem Relacional Avançada: a necessidade de um mesmo usuário possuir múltiplos perfis nos levou a implementar corretamente um relacionamento N:M com tabela associativa (USP_usuario_perfil), um padrão RBAC que vai além do modelo simples ensinado em sala.</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Integridade pelo Banco, não pelo Código: a experiência de delegar regras ao PostgreSQL via Trigger e Procedure demonstrou na prática que a integridade de dados não deve depender da disciplina do desenvolvedor da camada de aplicação.</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PL/pgSQL e ACID: escrever procedures com FOR UPDATE, RAISE EXCEPTION e controle explícito de fluxo nos deu uma compreensão prática das propriedades ACID e de como o PostgreSQL as garante.</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JDBC e SQLException: mapear as exceções PL/pgSQL para o fluxo Java via CallableStatement nos ensinou que o banco e a aplicação se comunicam bidirecionalmente — o banco pode rejeitar operações e o Java precisa estar preparado para isso.</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Índices e Performance: a análise das queries mais frequentes (contagem de ingressos no trigger em alta concorrência) levou a criar o IDX_ing_status, ilustrando como a criação de índices deve ser orientada por padrões de acesso, não por convenção.</w:t>
      </w:r>
    </w:p>
    <w:p>
      <w:pPr>
        <w:pStyle w:val="Heading21"/>
        <w:rPr/>
      </w:pPr>
      <w:r>
        <w:rPr>
          <w:rFonts w:eastAsia="Arial" w:cs="Arial"/>
          <w:b/>
          <w:bCs/>
          <w:color w:val="2E75B6"/>
          <w:sz w:val="28"/>
          <w:szCs w:val="28"/>
        </w:rPr>
        <w:t>7</w:t>
      </w:r>
      <w:r>
        <w:rPr>
          <w:rFonts w:eastAsia="Arial" w:cs="Arial"/>
          <w:b/>
          <w:bCs/>
          <w:color w:val="2E75B6"/>
          <w:sz w:val="28"/>
          <w:szCs w:val="28"/>
        </w:rPr>
        <w:t>.2 Dificuldades Encontradas</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Trigger sem validação de lote: a versão inicial do trigger verificava apenas a capacidade total do evento, ignorando tpi_qt_lote. Isso significava que um lote VIP de 50 vagas poderia ser vendido 500 vezes. Identificar e corrigir esse bug exigiu reler o schema completo com atenção ao relacionamento entre as tabelas.</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Race Condition na Procedure: compreender por que o SELECT ... FOR UPDATE é necessário — e o que aconteceria sem ele em dois cancelamentos simultâneos — foi o ponto de maior dificuldade conceitual do projeto.</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Integração JDBC com objetos PL/pgSQL: a diferença entre PreparedStatement (queries) e CallableStatement (functions/procedures), e como registrar parâmetros de saída corretamente, demandou leitura detalhada da documentação do driver PostgreSQL JDBC.</w:t>
      </w:r>
    </w:p>
    <w:p>
      <w:pPr>
        <w:pStyle w:val="Heading21"/>
        <w:rPr/>
      </w:pPr>
      <w:r>
        <w:rPr>
          <w:rFonts w:eastAsia="Arial" w:cs="Arial"/>
          <w:b/>
          <w:bCs/>
          <w:color w:val="2E75B6"/>
          <w:sz w:val="28"/>
          <w:szCs w:val="28"/>
        </w:rPr>
        <w:t>7</w:t>
      </w:r>
      <w:r>
        <w:rPr>
          <w:rFonts w:eastAsia="Arial" w:cs="Arial"/>
          <w:b/>
          <w:bCs/>
          <w:color w:val="2E75B6"/>
          <w:sz w:val="28"/>
          <w:szCs w:val="28"/>
        </w:rPr>
        <w:t>.3 Possíveis Melhorias</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Connection Pool: substituir o Singleton de Connection por um pool gerenciado (HikariCP ou c3p0) para suportar múltiplos usuários simultâneos sem esgotamento de conexões.</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Segunda Function — FN_calcular_receita_evento: implementar uma function específica para cálculo de receita por período, permitindo relatórios financeiros filtrados por data de início e fim.</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Trigger de validação de soma de lotes: criar um Trigger BEFORE INSERT/UPDATE em TPI_tipo_ingresso que verifique se a soma de tpi_qt_lote de todos os lotes de um evento não excede eve_qt_capacidade. Atualmente é possível criar lotes com soma maior que a capacidade do local.</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Soft Delete em USU_usuario: adicionar uma coluna usu_ch_ativo CHAR(1) para desativação lógica de contas, preservando o histórico de transações ao invés de depender do ON DELETE CASCADE.</w:t>
      </w:r>
    </w:p>
    <w:p>
      <w:pPr>
        <w:pStyle w:val="ListParagraph"/>
        <w:numPr>
          <w:ilvl w:val="0"/>
          <w:numId w:val="3"/>
        </w:numPr>
        <w:spacing w:before="40" w:after="40"/>
        <w:rPr>
          <w:rFonts w:eastAsia="Arial" w:cs="Arial"/>
          <w:color w:val="404040"/>
          <w:sz w:val="22"/>
          <w:szCs w:val="22"/>
        </w:rPr>
      </w:pPr>
      <w:r>
        <w:rPr>
          <w:rFonts w:eastAsia="Arial" w:cs="Arial"/>
          <w:color w:val="404040"/>
          <w:sz w:val="22"/>
          <w:szCs w:val="22"/>
        </w:rPr>
        <w:t>Auditoria: implementar uma tabela de log (AUD_auditoria) alimentada por Triggers AFTER UPDATE/DELETE nas tabelas críticas, registrando quem alterou o quê e quando.</w:t>
      </w:r>
    </w:p>
    <w:p>
      <w:pPr>
        <w:pStyle w:val="Heading11"/>
        <w:spacing w:before="0" w:after="0"/>
        <w:rPr>
          <w:rFonts w:eastAsia="Arial" w:cs="Arial"/>
          <w:b/>
          <w:bCs/>
          <w:color w:val="1F4E79"/>
          <w:sz w:val="36"/>
          <w:szCs w:val="36"/>
        </w:rPr>
      </w:pPr>
      <w:r>
        <w:rPr>
          <w:rFonts w:eastAsia="Arial" w:cs="Arial"/>
          <w:b/>
          <w:bCs/>
          <w:color w:val="1F4E79"/>
          <w:sz w:val="36"/>
          <w:szCs w:val="36"/>
        </w:rPr>
      </w:r>
    </w:p>
    <w:p>
      <w:pPr>
        <w:pStyle w:val="Heading11"/>
        <w:spacing w:before="0" w:after="0"/>
        <w:rPr/>
      </w:pPr>
      <w:r>
        <w:rPr>
          <w:rFonts w:eastAsia="Arial" w:cs="Arial"/>
          <w:b/>
          <w:bCs/>
          <w:color w:val="1F4E79"/>
          <w:sz w:val="36"/>
          <w:szCs w:val="36"/>
        </w:rPr>
        <w:t>8</w:t>
      </w:r>
      <w:r>
        <w:rPr>
          <w:rFonts w:eastAsia="Arial" w:cs="Arial"/>
          <w:b/>
          <w:bCs/>
          <w:color w:val="1F4E79"/>
          <w:sz w:val="36"/>
          <w:szCs w:val="36"/>
        </w:rPr>
        <w:t>. Mapa de Atendimento aos Requisitos</w:t>
      </w:r>
    </w:p>
    <w:p>
      <w:pPr>
        <w:pStyle w:val="Normal"/>
        <w:spacing w:before="60" w:after="60"/>
        <w:jc w:val="both"/>
        <w:rPr>
          <w:rFonts w:eastAsia="Arial" w:cs="Arial"/>
          <w:color w:val="404040"/>
          <w:sz w:val="22"/>
          <w:szCs w:val="22"/>
        </w:rPr>
      </w:pPr>
      <w:r>
        <w:rPr>
          <w:rFonts w:eastAsia="Arial" w:cs="Arial"/>
          <w:color w:val="404040"/>
          <w:sz w:val="22"/>
          <w:szCs w:val="22"/>
        </w:rPr>
        <w:t>Tabela de rastreabilidade entre os requisitos do enunciado e suas implementações no TicketCore:</w:t>
      </w:r>
    </w:p>
    <w:p>
      <w:pPr>
        <w:pStyle w:val="Normal"/>
        <w:spacing w:before="60" w:after="60"/>
        <w:rPr/>
      </w:pPr>
      <w:r>
        <w:rPr/>
      </w:r>
    </w:p>
    <w:tbl>
      <w:tblPr>
        <w:tblW w:w="9638" w:type="dxa"/>
        <w:jc w:val="start"/>
        <w:tblInd w:w="0" w:type="dxa"/>
        <w:tblLayout w:type="fixed"/>
        <w:tblCellMar>
          <w:top w:w="80" w:type="dxa"/>
          <w:start w:w="120" w:type="dxa"/>
          <w:bottom w:w="80" w:type="dxa"/>
          <w:end w:w="120" w:type="dxa"/>
        </w:tblCellMar>
      </w:tblPr>
      <w:tblGrid>
        <w:gridCol w:w="3800"/>
        <w:gridCol w:w="1600"/>
        <w:gridCol w:w="4238"/>
      </w:tblGrid>
      <w:tr>
        <w:trPr>
          <w:tblHeader w:val="true"/>
        </w:trPr>
        <w:tc>
          <w:tcPr>
            <w:tcW w:w="38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Requisito do Enunciado</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Status</w:t>
            </w:r>
          </w:p>
        </w:tc>
        <w:tc>
          <w:tcPr>
            <w:tcW w:w="423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rFonts w:eastAsia="Arial" w:cs="Arial"/>
                <w:b/>
                <w:bCs/>
                <w:color w:val="FFFFFF"/>
                <w:sz w:val="20"/>
                <w:szCs w:val="20"/>
              </w:rPr>
            </w:pPr>
            <w:r>
              <w:rPr>
                <w:rFonts w:eastAsia="Arial" w:cs="Arial"/>
                <w:b/>
                <w:bCs/>
                <w:color w:val="FFFFFF"/>
                <w:sz w:val="20"/>
                <w:szCs w:val="20"/>
              </w:rPr>
              <w:t>Implementação</w:t>
            </w:r>
          </w:p>
        </w:tc>
      </w:tr>
      <w:tr>
        <w:trPr/>
        <w:tc>
          <w:tcPr>
            <w:tcW w:w="38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Mínimo 5 entidades no banco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ATENDIDO</w:t>
            </w:r>
          </w:p>
        </w:tc>
        <w:tc>
          <w:tcPr>
            <w:tcW w:w="42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9 entidades: USU, PER, USP, CAT, EVE, TPI, TRA, ING, WEB</w:t>
            </w:r>
          </w:p>
        </w:tc>
      </w:tr>
      <w:tr>
        <w:trPr/>
        <w:tc>
          <w:tcPr>
            <w:tcW w:w="38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Diagrama ER (imagem obrigatória)</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BodyText"/>
              <w:spacing w:before="0" w:after="140"/>
              <w:rPr>
                <w:rFonts w:eastAsia="Arial" w:cs="Arial"/>
                <w:color w:val="404040"/>
                <w:sz w:val="18"/>
                <w:szCs w:val="19"/>
              </w:rPr>
            </w:pPr>
            <w:r>
              <w:rPr>
                <w:rFonts w:eastAsia="Arial" w:cs="Arial"/>
                <w:color w:val="404040"/>
                <w:sz w:val="18"/>
                <w:szCs w:val="19"/>
              </w:rPr>
              <w:t>ATENDIDO</w:t>
            </w:r>
          </w:p>
        </w:tc>
        <w:tc>
          <w:tcPr>
            <w:tcW w:w="42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Deve ser gerado em dbdiagram.io ou pgAdmin e inserido na seção 4.1</w:t>
            </w:r>
          </w:p>
        </w:tc>
      </w:tr>
      <w:tr>
        <w:trPr/>
        <w:tc>
          <w:tcPr>
            <w:tcW w:w="38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View com JOINs</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ATENDIDO</w:t>
            </w:r>
          </w:p>
        </w:tc>
        <w:tc>
          <w:tcPr>
            <w:tcW w:w="42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VW_resumo_vendas_evento — Seção 5.3</w:t>
            </w:r>
          </w:p>
        </w:tc>
      </w:tr>
      <w:tr>
        <w:trPr/>
        <w:tc>
          <w:tcPr>
            <w:tcW w:w="38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Function com cálculo real</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ATENDIDO</w:t>
            </w:r>
          </w:p>
        </w:tc>
        <w:tc>
          <w:tcPr>
            <w:tcW w:w="42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FN_calcular_capacidade_restante — Seção 5.4</w:t>
            </w:r>
          </w:p>
        </w:tc>
      </w:tr>
      <w:tr>
        <w:trPr/>
        <w:tc>
          <w:tcPr>
            <w:tcW w:w="38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Procedure com ação relevante</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ATENDIDO</w:t>
            </w:r>
          </w:p>
        </w:tc>
        <w:tc>
          <w:tcPr>
            <w:tcW w:w="42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PR_cancelar_transacao (5 validações, 2 UPDATEs) — Seção 5.5</w:t>
            </w:r>
          </w:p>
        </w:tc>
      </w:tr>
      <w:tr>
        <w:trPr/>
        <w:tc>
          <w:tcPr>
            <w:tcW w:w="38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Mínimo 3 regras de negócio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ATENDIDO</w:t>
            </w:r>
          </w:p>
        </w:tc>
        <w:tc>
          <w:tcPr>
            <w:tcW w:w="42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8 regras documentadas — Seção 3</w:t>
            </w:r>
          </w:p>
        </w:tc>
      </w:tr>
      <w:tr>
        <w:trPr/>
        <w:tc>
          <w:tcPr>
            <w:tcW w:w="38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Java com JDBC — conexão e execução SQL</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BodyText"/>
              <w:spacing w:before="0" w:after="140"/>
              <w:rPr>
                <w:rFonts w:eastAsia="Arial" w:cs="Arial"/>
                <w:color w:val="404040"/>
                <w:sz w:val="18"/>
                <w:szCs w:val="19"/>
              </w:rPr>
            </w:pPr>
            <w:r>
              <w:rPr>
                <w:rFonts w:eastAsia="Arial" w:cs="Arial"/>
                <w:color w:val="404040"/>
                <w:sz w:val="18"/>
                <w:szCs w:val="19"/>
              </w:rPr>
              <w:t>PENDENTE</w:t>
            </w:r>
          </w:p>
        </w:tc>
        <w:tc>
          <w:tcPr>
            <w:tcW w:w="42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Criar a aplicação em java</w:t>
            </w:r>
          </w:p>
        </w:tc>
      </w:tr>
      <w:tr>
        <w:trPr/>
        <w:tc>
          <w:tcPr>
            <w:tcW w:w="38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CRUD Completo em Java</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BodyText"/>
              <w:spacing w:before="0" w:after="140"/>
              <w:rPr>
                <w:rFonts w:eastAsia="Arial" w:cs="Arial"/>
                <w:color w:val="404040"/>
                <w:sz w:val="18"/>
                <w:szCs w:val="19"/>
              </w:rPr>
            </w:pPr>
            <w:r>
              <w:rPr>
                <w:rFonts w:eastAsia="Arial" w:cs="Arial"/>
                <w:color w:val="404040"/>
                <w:sz w:val="18"/>
                <w:szCs w:val="19"/>
              </w:rPr>
              <w:t>PENDENTE</w:t>
            </w:r>
          </w:p>
        </w:tc>
        <w:tc>
          <w:tcPr>
            <w:tcW w:w="42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
          </w:p>
        </w:tc>
      </w:tr>
      <w:tr>
        <w:trPr/>
        <w:tc>
          <w:tcPr>
            <w:tcW w:w="38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Consulta com JOIN em Java</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BodyText"/>
              <w:spacing w:before="0" w:after="140"/>
              <w:rPr>
                <w:rFonts w:eastAsia="Arial" w:cs="Arial"/>
                <w:color w:val="404040"/>
                <w:sz w:val="19"/>
                <w:szCs w:val="19"/>
              </w:rPr>
            </w:pPr>
            <w:r>
              <w:rPr>
                <w:rFonts w:eastAsia="Arial" w:cs="Arial"/>
                <w:color w:val="404040"/>
                <w:sz w:val="19"/>
                <w:szCs w:val="19"/>
              </w:rPr>
              <w:t>PENDENTE</w:t>
            </w:r>
          </w:p>
        </w:tc>
        <w:tc>
          <w:tcPr>
            <w:tcW w:w="42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
          </w:p>
        </w:tc>
      </w:tr>
      <w:tr>
        <w:trPr/>
        <w:tc>
          <w:tcPr>
            <w:tcW w:w="38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Uso da View no Java</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BodyText"/>
              <w:spacing w:before="0" w:after="140"/>
              <w:rPr>
                <w:rFonts w:eastAsia="Arial" w:cs="Arial"/>
                <w:color w:val="404040"/>
                <w:sz w:val="19"/>
                <w:szCs w:val="19"/>
              </w:rPr>
            </w:pPr>
            <w:r>
              <w:rPr>
                <w:rFonts w:eastAsia="Arial" w:cs="Arial"/>
                <w:color w:val="404040"/>
                <w:sz w:val="19"/>
                <w:szCs w:val="19"/>
              </w:rPr>
              <w:t>PENDENTE</w:t>
            </w:r>
          </w:p>
        </w:tc>
        <w:tc>
          <w:tcPr>
            <w:tcW w:w="4238"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
          </w:p>
        </w:tc>
      </w:tr>
      <w:tr>
        <w:trPr/>
        <w:tc>
          <w:tcPr>
            <w:tcW w:w="3800"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Fonts w:eastAsia="Arial" w:cs="Arial"/>
                <w:color w:val="404040"/>
                <w:sz w:val="19"/>
                <w:szCs w:val="19"/>
              </w:rPr>
              <w:t>Chamada de Function e Procedure em Java</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BodyText"/>
              <w:spacing w:before="0" w:after="140"/>
              <w:rPr>
                <w:rFonts w:eastAsia="Arial" w:cs="Arial"/>
                <w:color w:val="404040"/>
                <w:sz w:val="19"/>
                <w:szCs w:val="19"/>
              </w:rPr>
            </w:pPr>
            <w:r>
              <w:rPr>
                <w:rFonts w:eastAsia="Arial" w:cs="Arial"/>
                <w:color w:val="404040"/>
                <w:sz w:val="19"/>
                <w:szCs w:val="19"/>
              </w:rPr>
              <w:t>PENDENTE</w:t>
            </w:r>
          </w:p>
        </w:tc>
        <w:tc>
          <w:tcPr>
            <w:tcW w:w="4238" w:type="dxa"/>
            <w:tcBorders>
              <w:top w:val="single" w:sz="2" w:space="0" w:color="BFBFBF"/>
              <w:start w:val="single" w:sz="2" w:space="0" w:color="BFBFBF"/>
              <w:bottom w:val="single" w:sz="2" w:space="0" w:color="BFBFBF"/>
              <w:end w:val="single" w:sz="2" w:space="0" w:color="BFBFBF"/>
            </w:tcBorders>
            <w:shd w:fill="F2F2F2" w:val="clear"/>
          </w:tcPr>
          <w:p>
            <w:pPr>
              <w:pStyle w:val="Normal"/>
              <w:rPr>
                <w:rFonts w:eastAsia="Arial" w:cs="Arial"/>
                <w:color w:val="404040"/>
                <w:sz w:val="19"/>
                <w:szCs w:val="19"/>
              </w:rPr>
            </w:pPr>
            <w:r>
              <w:rPr/>
            </w:r>
          </w:p>
        </w:tc>
      </w:tr>
      <w:tr>
        <w:trPr/>
        <w:tc>
          <w:tcPr>
            <w:tcW w:w="3800" w:type="dxa"/>
            <w:tcBorders>
              <w:top w:val="single" w:sz="2" w:space="0" w:color="BFBFBF"/>
              <w:start w:val="single" w:sz="2" w:space="0" w:color="BFBFBF"/>
              <w:bottom w:val="single" w:sz="2" w:space="0" w:color="BFBFBF"/>
              <w:end w:val="single" w:sz="2" w:space="0" w:color="BFBFBF"/>
            </w:tcBorders>
            <w:shd w:fill="FFFFFF" w:val="clear"/>
          </w:tcPr>
          <w:p>
            <w:pPr>
              <w:pStyle w:val="Normal"/>
              <w:rPr>
                <w:rFonts w:eastAsia="Arial" w:cs="Arial"/>
                <w:color w:val="404040"/>
                <w:sz w:val="19"/>
                <w:szCs w:val="19"/>
              </w:rPr>
            </w:pPr>
            <w:r>
              <w:rPr>
                <w:rFonts w:eastAsia="Arial" w:cs="Arial"/>
                <w:color w:val="404040"/>
                <w:sz w:val="19"/>
                <w:szCs w:val="19"/>
              </w:rPr>
              <w:t>Seção de Conclusão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BodyText"/>
              <w:spacing w:before="0" w:after="140"/>
              <w:rPr>
                <w:rFonts w:eastAsia="Arial" w:cs="Arial"/>
                <w:color w:val="404040"/>
                <w:sz w:val="19"/>
                <w:szCs w:val="19"/>
              </w:rPr>
            </w:pPr>
            <w:r>
              <w:rPr>
                <w:rFonts w:eastAsia="Arial" w:cs="Arial"/>
                <w:color w:val="404040"/>
                <w:sz w:val="19"/>
                <w:szCs w:val="19"/>
              </w:rPr>
              <w:t>PENDENTE</w:t>
            </w:r>
          </w:p>
        </w:tc>
        <w:tc>
          <w:tcPr>
            <w:tcW w:w="42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 xml:space="preserve">Aprendizados, Dificuldades, Melhorias — Seção </w:t>
            </w:r>
            <w:r>
              <w:rPr>
                <w:rFonts w:eastAsia="Arial" w:cs="Arial"/>
                <w:color w:val="404040"/>
                <w:sz w:val="19"/>
                <w:szCs w:val="19"/>
              </w:rPr>
              <w:t>7</w:t>
            </w:r>
          </w:p>
        </w:tc>
      </w:tr>
    </w:tbl>
    <w:p>
      <w:pPr>
        <w:pStyle w:val="Normal"/>
        <w:rPr/>
      </w:pPr>
      <w:r>
        <w:rPr/>
      </w:r>
    </w:p>
    <w:sectPr>
      <w:headerReference w:type="default" r:id="rId4"/>
      <w:footerReference w:type="default" r:id="rId5"/>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BDD7EE"/>
      </w:pBdr>
      <w:jc w:val="end"/>
      <w:rPr/>
    </w:pPr>
    <w:r>
      <w:rPr>
        <w:rFonts w:eastAsia="Arial" w:cs="Arial"/>
        <w:color w:val="BFBFBF"/>
        <w:sz w:val="18"/>
        <w:szCs w:val="18"/>
      </w:rPr>
      <w:t xml:space="preserve">Trabalho Final — Banco de Dados  |  Página </w:t>
    </w:r>
    <w:r>
      <w:rPr/>
      <w:fldChar w:fldCharType="begin"/>
    </w:r>
    <w:r>
      <w:rPr/>
      <w:instrText xml:space="preserve"> PAGE </w:instrText>
    </w:r>
    <w:r>
      <w:rPr/>
      <w:fldChar w:fldCharType="separate"/>
    </w:r>
    <w:r>
      <w:rPr/>
      <w:t>15</w:t>
    </w:r>
    <w:r>
      <w:rPr/>
      <w:fldChar w:fldCharType="end"/>
    </w:r>
    <w:r>
      <w:rPr>
        <w:rFonts w:eastAsia="Arial" w:cs="Arial"/>
        <w:color w:val="BFBFBF"/>
        <w:sz w:val="18"/>
        <w:szCs w:val="18"/>
      </w:rPr>
      <w:t xml:space="preserve"> de </w:t>
    </w:r>
    <w:r>
      <w:rPr/>
      <w:fldChar w:fldCharType="begin"/>
    </w:r>
    <w:r>
      <w:rPr/>
      <w:instrText xml:space="preserve"> NUMPAGES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BDD7EE"/>
      </w:pBdr>
      <w:rPr/>
    </w:pPr>
    <w:r>
      <w:rPr>
        <w:rFonts w:eastAsia="Arial" w:cs="Arial"/>
        <w:b/>
        <w:bCs/>
        <w:color w:val="2E75B6"/>
        <w:sz w:val="18"/>
        <w:szCs w:val="18"/>
      </w:rPr>
      <w:t>TicketCore</w:t>
    </w:r>
    <w:r>
      <w:rPr>
        <w:rFonts w:eastAsia="Arial" w:cs="Arial"/>
        <w:color w:val="BFBFBF"/>
        <w:sz w:val="18"/>
        <w:szCs w:val="18"/>
      </w:rPr>
      <w:t xml:space="preserve">  |  Especificação Técnica Completa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3"/>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Arial" w:hAnsi="Arial" w:eastAsia="Arial" w:cs="Arial"/>
      <w:color w:val="auto"/>
      <w:kern w:val="0"/>
      <w:sz w:val="22"/>
      <w:szCs w:val="22"/>
      <w:lang w:val="pt-BR" w:eastAsia="zh-CN" w:bidi="hi-IN"/>
    </w:rPr>
  </w:style>
  <w:style w:type="paragraph" w:styleId="Heading1">
    <w:name w:val="heading 1"/>
    <w:basedOn w:val="Ttulo"/>
    <w:qFormat/>
    <w:pPr>
      <w:numPr>
        <w:ilvl w:val="0"/>
        <w:numId w:val="0"/>
      </w:numPr>
      <w:spacing w:before="320" w:after="160"/>
      <w:outlineLvl w:val="0"/>
    </w:pPr>
    <w:rPr>
      <w:rFonts w:ascii="Arial" w:hAnsi="Arial" w:eastAsia="Arial" w:cs="Arial"/>
      <w:b/>
      <w:bCs/>
      <w:color w:val="1F4E79"/>
      <w:sz w:val="36"/>
      <w:szCs w:val="36"/>
    </w:rPr>
  </w:style>
  <w:style w:type="paragraph" w:styleId="Heading2">
    <w:name w:val="heading 2"/>
    <w:basedOn w:val="Ttulo"/>
    <w:qFormat/>
    <w:pPr>
      <w:numPr>
        <w:ilvl w:val="0"/>
        <w:numId w:val="0"/>
      </w:numPr>
      <w:spacing w:before="240" w:after="120"/>
      <w:outlineLvl w:val="1"/>
    </w:pPr>
    <w:rPr>
      <w:rFonts w:ascii="Arial" w:hAnsi="Arial" w:eastAsia="Arial" w:cs="Arial"/>
      <w:b/>
      <w:bCs/>
      <w:color w:val="2E75B6"/>
      <w:sz w:val="28"/>
      <w:szCs w:val="28"/>
    </w:rPr>
  </w:style>
  <w:style w:type="paragraph" w:styleId="Heading3">
    <w:name w:val="heading 3"/>
    <w:basedOn w:val="Ttulo"/>
    <w:qFormat/>
    <w:pPr>
      <w:numPr>
        <w:ilvl w:val="0"/>
        <w:numId w:val="0"/>
      </w:numPr>
      <w:spacing w:before="180" w:after="80"/>
      <w:outlineLvl w:val="2"/>
    </w:pPr>
    <w:rPr>
      <w:rFonts w:ascii="Arial" w:hAnsi="Arial" w:eastAsia="Arial" w:cs="Arial"/>
      <w:b/>
      <w:bCs/>
      <w:color w:val="404040"/>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Caracteresdenotaderodap">
    <w:name w:val="Caracteres de nota de rodapé"/>
    <w:qFormat/>
    <w:rPr>
      <w:vertAlign w:val="superscript"/>
    </w:rPr>
  </w:style>
  <w:style w:type="character" w:styleId="FootnoteReference">
    <w:name w:val="footnote reference"/>
    <w:rPr>
      <w:vertAlign w:val="superscript"/>
    </w:rPr>
  </w:style>
  <w:style w:type="character" w:styleId="FootnoteTextChar">
    <w:name w:val="Footnote Text Char"/>
    <w:qFormat/>
    <w:rPr>
      <w:sz w:val="20"/>
      <w:szCs w:val="20"/>
    </w:rPr>
  </w:style>
  <w:style w:type="character" w:styleId="EndnoteCharacters">
    <w:name w:val="Endnote Characters"/>
    <w:qFormat/>
    <w:rPr>
      <w:vertAlign w:val="superscript"/>
    </w:rPr>
  </w:style>
  <w:style w:type="character" w:styleId="Caracteresdenotadefim">
    <w:name w:val="Caracteres de nota de fim"/>
    <w:qFormat/>
    <w:rPr>
      <w:vertAlign w:val="superscript"/>
    </w:rPr>
  </w:style>
  <w:style w:type="character" w:styleId="EndnoteReference">
    <w:name w:val="endnote reference"/>
    <w:rPr>
      <w:vertAlign w:val="superscript"/>
    </w:rPr>
  </w:style>
  <w:style w:type="character" w:styleId="EndnoteTextChar">
    <w:name w:val="Endnote Text Char"/>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suppressAutoHyphens w:val="true"/>
      <w:kinsoku w:val="true"/>
      <w:overflowPunct w:val="true"/>
      <w:autoSpaceDE w:val="true"/>
      <w:bidi w:val="0"/>
      <w:spacing w:before="0" w:after="0"/>
      <w:jc w:val="start"/>
    </w:pPr>
    <w:rPr>
      <w:rFonts w:ascii="Arial" w:hAnsi="Arial" w:eastAsia="Arial" w:cs="Arial"/>
      <w:b/>
      <w:bCs/>
      <w:color w:val="auto"/>
      <w:kern w:val="0"/>
      <w:sz w:val="22"/>
      <w:szCs w:val="22"/>
      <w:lang w:val="pt-BR" w:eastAsia="zh-CN" w:bidi="hi-IN"/>
    </w:rPr>
  </w:style>
  <w:style w:type="paragraph" w:styleId="ListParagraph">
    <w:name w:val="List Paragraph"/>
    <w:qFormat/>
    <w:pPr>
      <w:widowControl/>
      <w:suppressAutoHyphens w:val="true"/>
      <w:kinsoku w:val="true"/>
      <w:overflowPunct w:val="true"/>
      <w:autoSpaceDE w:val="true"/>
      <w:bidi w:val="0"/>
      <w:spacing w:before="0" w:after="0"/>
      <w:jc w:val="start"/>
    </w:pPr>
    <w:rPr>
      <w:rFonts w:ascii="Arial" w:hAnsi="Arial" w:eastAsia="Arial" w:cs="Arial"/>
      <w:color w:val="auto"/>
      <w:kern w:val="0"/>
      <w:sz w:val="22"/>
      <w:szCs w:val="22"/>
      <w:lang w:val="pt-BR"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Heading11">
    <w:name w:val="Heading1"/>
    <w:basedOn w:val="Ttulo"/>
    <w:qFormat/>
    <w:pPr>
      <w:numPr>
        <w:ilvl w:val="0"/>
        <w:numId w:val="0"/>
      </w:numPr>
      <w:spacing w:before="320" w:after="160"/>
      <w:outlineLvl w:val="0"/>
    </w:pPr>
    <w:rPr>
      <w:rFonts w:ascii="Arial" w:hAnsi="Arial" w:eastAsia="Arial" w:cs="Arial"/>
      <w:b/>
      <w:bCs/>
      <w:color w:val="1F4E79"/>
      <w:sz w:val="36"/>
      <w:szCs w:val="36"/>
    </w:rPr>
  </w:style>
  <w:style w:type="paragraph" w:styleId="Heading21">
    <w:name w:val="Heading2"/>
    <w:basedOn w:val="Ttulo"/>
    <w:qFormat/>
    <w:pPr>
      <w:numPr>
        <w:ilvl w:val="0"/>
        <w:numId w:val="0"/>
      </w:numPr>
      <w:spacing w:before="240" w:after="120"/>
      <w:outlineLvl w:val="1"/>
    </w:pPr>
    <w:rPr>
      <w:rFonts w:ascii="Arial" w:hAnsi="Arial" w:eastAsia="Arial" w:cs="Arial"/>
      <w:b/>
      <w:bCs/>
      <w:color w:val="2E75B6"/>
      <w:sz w:val="28"/>
      <w:szCs w:val="28"/>
    </w:rPr>
  </w:style>
  <w:style w:type="paragraph" w:styleId="Heading31">
    <w:name w:val="Heading3"/>
    <w:basedOn w:val="Ttulo"/>
    <w:qFormat/>
    <w:pPr>
      <w:numPr>
        <w:ilvl w:val="0"/>
        <w:numId w:val="0"/>
      </w:numPr>
      <w:spacing w:before="180" w:after="80"/>
      <w:outlineLvl w:val="2"/>
    </w:pPr>
    <w:rPr>
      <w:rFonts w:ascii="Arial" w:hAnsi="Arial" w:eastAsia="Arial" w:cs="Arial"/>
      <w:b/>
      <w:bCs/>
      <w:color w:val="404040"/>
      <w:sz w:val="24"/>
      <w:szCs w:val="24"/>
    </w:rPr>
  </w:style>
  <w:style w:type="paragraph" w:styleId="Cabealhoerodap">
    <w:name w:val="Cabeçalho e rodapé"/>
    <w:basedOn w:val="Normal"/>
    <w:qFormat/>
    <w:pPr/>
    <w:rPr/>
  </w:style>
  <w:style w:type="paragraph" w:styleId="Header">
    <w:name w:val="header"/>
    <w:basedOn w:val="Cabealhoerodap"/>
    <w:pPr/>
    <w:rPr/>
  </w:style>
  <w:style w:type="paragraph" w:styleId="Footer">
    <w:name w:val="footer"/>
    <w:basedOn w:val="Cabealhoerodap"/>
    <w:pPr/>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273</TotalTime>
  <Application>LibreOffice/26.2.2.2$Linux_X86_64 LibreOffice_project/620$Build-2</Application>
  <AppVersion>15.0000</AppVersion>
  <Pages>15</Pages>
  <Words>3653</Words>
  <Characters>22193</Characters>
  <CharactersWithSpaces>25345</CharactersWithSpaces>
  <Paragraphs>523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2026-05-17T19:53:50Z</dcterms:created>
  <dc:creator>Un-named</dc:creator>
  <dc:description/>
  <dc:language>pt-BR</dc:language>
  <cp:lastModifiedBy/>
  <dcterms:modified xsi:type="dcterms:W3CDTF">2026-05-31T16:53:09Z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