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aptionCustom"/>
        <w:jc w:val="center"/>
      </w:pPr>
      <w:r>
        <w:t xml:space="preserve">PRODUCT OVERVIEW</w:t>
      </w:r>
    </w:p>
    <w:p>
      <w:pPr>
        <w:pStyle w:val="Title"/>
        <w:jc w:val="center"/>
      </w:pPr>
      <w:r>
        <w:t xml:space="preserve">THEMIS</w:t>
      </w:r>
    </w:p>
    <w:p>
      <w:pPr>
        <w:pStyle w:val="SubtitleCustom"/>
        <w:jc w:val="center"/>
      </w:pPr>
      <w:r>
        <w:t xml:space="preserve">Legal-domain intelligence and structured matter records</w:t>
      </w:r>
    </w:p>
    <w:p>
      <w:pPr>
        <w:pStyle w:val="Lead"/>
        <w:jc w:val="center"/>
      </w:pPr>
      <w:r>
        <w:t xml:space="preserve">Understand legal material, structure matters, trace obligations, and preserve the evidence behind decisions.</w:t>
      </w:r>
    </w:p>
    <w:p>
      <w:pPr>
        <w:pStyle w:val="Normal"/>
        <w:jc w:val="center"/>
      </w:pPr>
      <w:r>
        <w:rPr>
          <w:b/>
        </w:rPr>
        <w:t xml:space="preserve">Product Description</w:t>
      </w:r>
    </w:p>
    <w:p>
      <w:pPr>
        <w:pStyle w:val="Normal"/>
        <w:jc w:val="center"/>
      </w:pPr>
      <w:r>
        <w:t xml:space="preserve">Version 0.1.0 implementation baseline · October 2026</w:t>
      </w:r>
    </w:p>
    <w:p>
      <w:pPr>
        <w:pStyle w:val="CaptionCustom"/>
        <w:jc w:val="center"/>
      </w:pPr>
      <w:r>
        <w:t xml:space="preserve">Private / experimental · Not released</w:t>
      </w:r>
    </w:p>
    <w:p>
      <w:pPr>
        <w:pageBreakBefore/>
      </w:pPr>
    </w:p>
    <w:p>
      <w:pPr>
        <w:pStyle w:val="Heading1"/>
      </w:pPr>
      <w:r>
        <w:rPr>
          <w:b/>
        </w:rPr>
        <w:t xml:space="preserve">Contents</w:t>
      </w:r>
    </w:p>
    <w:p>
      <w:pPr>
        <w:pStyle w:val="TOCEntry"/>
      </w:pPr>
      <w:r>
        <w:t xml:space="preserve">THEMIS</w:t>
      </w:r>
    </w:p>
    <w:p>
      <w:pPr>
        <w:pStyle w:val="TOCEntry"/>
      </w:pPr>
      <w:r>
        <w:t xml:space="preserve">Product overview</w:t>
      </w:r>
    </w:p>
    <w:p>
      <w:pPr>
        <w:pStyle w:val="TOCEntry"/>
      </w:pPr>
      <w:r>
        <w:t xml:space="preserve">Purpose and intended users</w:t>
      </w:r>
    </w:p>
    <w:p>
      <w:pPr>
        <w:pStyle w:val="TOCEntry"/>
      </w:pPr>
      <w:r>
        <w:t xml:space="preserve">Core capabilities</w:t>
      </w:r>
    </w:p>
    <w:p>
      <w:pPr>
        <w:pStyle w:val="TOCEntry"/>
      </w:pPr>
      <w:r>
        <w:t xml:space="preserve">Specialist roles</w:t>
      </w:r>
    </w:p>
    <w:p>
      <w:pPr>
        <w:pStyle w:val="TOCEntry"/>
      </w:pPr>
      <w:r>
        <w:t xml:space="preserve">How the product fits together</w:t>
      </w:r>
    </w:p>
    <w:p>
      <w:pPr>
        <w:pStyle w:val="TOCEntry"/>
      </w:pPr>
      <w:r>
        <w:t xml:space="preserve">Interfaces and platforms</w:t>
      </w:r>
    </w:p>
    <w:p>
      <w:pPr>
        <w:pStyle w:val="TOCEntry"/>
      </w:pPr>
      <w:r>
        <w:t xml:space="preserve">Data and integrations</w:t>
      </w:r>
    </w:p>
    <w:p>
      <w:pPr>
        <w:pStyle w:val="TOCEntry"/>
      </w:pPr>
      <w:r>
        <w:t xml:space="preserve">Privacy, security and user control</w:t>
      </w:r>
    </w:p>
    <w:p>
      <w:pPr>
        <w:pStyle w:val="TOCEntry"/>
      </w:pPr>
      <w:r>
        <w:t xml:space="preserve">Requirements and limitations</w:t>
      </w:r>
    </w:p>
    <w:p>
      <w:pPr>
        <w:pStyle w:val="TOCEntry"/>
      </w:pPr>
      <w:r>
        <w:t xml:space="preserve">Availability and version</w:t>
      </w:r>
    </w:p>
    <w:p>
      <w:pPr>
        <w:pageBreakBefore/>
      </w:pPr>
    </w:p>
    <w:p>
      <w:pPr>
        <w:pStyle w:val="Heading1"/>
      </w:pPr>
      <w:r>
        <w:t xml:space="preserve">Product overview</w:t>
      </w:r>
    </w:p>
    <w:p>
      <w:pPr>
        <w:pStyle w:val="Lead"/>
        <w:jc w:val="center"/>
      </w:pPr>
      <w:r>
        <w:t xml:space="preserve">THEMIS is the EDEN legal-domain application and master legal helper. Its established role is to organize legal meaning and workflows around matters, parties, agreements, clauses, obligations, jurisdictions, evidence, correspondence, research, deadlines, versions and approvals.</w:t>
      </w:r>
    </w:p>
    <w:p>
      <w:pPr>
        <w:pStyle w:val="Normal"/>
      </w:pPr>
      <w:r>
        <w:t xml:space="preserve">THEMIS has two distinct surfaces: a canonical helper definition for conversational legal-domain work, and a small local Python implementation that stores structured legal-domain records. The helper prompt defines intended reasoning, handoffs and authorization boundaries. The recovered software baseline implements the record store and command-line operations; it is not a complete legal research platform or a graphical legal practice-management application.</w:t>
      </w:r>
    </w:p>
    <w:p>
      <w:pPr>
        <w:pStyle w:val="Heading1"/>
      </w:pPr>
      <w:r>
        <w:t xml:space="preserve">Purpose and intended users</w:t>
      </w:r>
    </w:p>
    <w:p>
      <w:pPr>
        <w:pStyle w:val="Normal"/>
      </w:pPr>
      <w:r>
        <w:t xml:space="preserve">THEMIS is intended for people who need to organize legal material, track how a document supports a matter, understand contractual structure, identify rights and obligations, prepare compliance matrices, and keep a clear distinction between source evidence, interpretation, uncertainty and decisions. It can support individual, organizational and professional workflows, but it does not replace qualified legal advice or the user's own review.</w:t>
      </w:r>
    </w:p>
    <w:p>
      <w:pPr>
        <w:pStyle w:val="Heading1"/>
      </w:pPr>
      <w:r>
        <w:t xml:space="preserve">Core capabilities</w:t>
      </w:r>
    </w:p>
    <w:tbl>
      <w:tblPr>
        <w:tblStyle w:val="TableGrid"/>
        <w:tblW w:w="9000" w:type="dxa"/>
        <w:tblLayout w:type="autofit"/>
        <w:tblBorders>
          <w:top w:val="single" w:sz="5" w:color="9BA9B7"/>
          <w:left w:val="single" w:sz="5" w:color="9BA9B7"/>
          <w:bottom w:val="single" w:sz="5" w:color="9BA9B7"/>
          <w:right w:val="single" w:sz="5" w:color="9BA9B7"/>
          <w:insideH w:val="single" w:sz="5" w:color="9BA9B7"/>
          <w:insideV w:val="single" w:sz="5" w:color="9BA9B7"/>
        </w:tblBorders>
      </w:tblPr>
      <w:tblGrid>
        <w:gridCol w:w="3000"/>
        <w:gridCol w:w="3000"/>
        <w:gridCol w:w="3000"/>
      </w:tblGrid>
      <w:tr>
        <w:trPr>
          <w:cantSplit/>
          <w:tblHeader w:val="true"/>
        </w:trPr>
        <w:tc>
          <w:tcPr>
            <w:tcW w:w="3000" w:type="dxa"/>
            <w:shd w:fill="17365D"/>
          </w:tcPr>
          <w:p>
            <w:pPr>
              <w:pStyle w:val="TableText"/>
            </w:pPr>
            <w:r>
              <w:rPr>
                <w:b/>
                <w:color w:val="FFFFFF"/>
              </w:rPr>
              <w:t xml:space="preserve">Capability</w:t>
            </w:r>
          </w:p>
        </w:tc>
        <w:tc>
          <w:tcPr>
            <w:tcW w:w="3000" w:type="dxa"/>
            <w:shd w:fill="17365D"/>
          </w:tcPr>
          <w:p>
            <w:pPr>
              <w:pStyle w:val="TableText"/>
            </w:pPr>
            <w:r>
              <w:rPr>
                <w:b/>
                <w:color w:val="FFFFFF"/>
              </w:rPr>
              <w:t xml:space="preserve">Established behavior</w:t>
            </w:r>
          </w:p>
        </w:tc>
        <w:tc>
          <w:tcPr>
            <w:tcW w:w="3000" w:type="dxa"/>
            <w:shd w:fill="17365D"/>
          </w:tcPr>
          <w:p>
            <w:pPr>
              <w:pStyle w:val="TableText"/>
            </w:pPr>
            <w:r>
              <w:rPr>
                <w:b/>
                <w:color w:val="FFFFFF"/>
              </w:rPr>
              <w:t xml:space="preserve">Implementation status</w:t>
            </w:r>
          </w:p>
        </w:tc>
      </w:tr>
      <w:tr>
        <w:trPr>
          <w:cantSplit/>
        </w:trPr>
        <w:tc>
          <w:tcPr>
            <w:tcW w:w="3000" w:type="dxa"/>
          </w:tcPr>
          <w:p>
            <w:pPr>
              <w:pStyle w:val="TableText"/>
            </w:pPr>
            <w:r>
              <w:t xml:space="preserve">Structured legal records</w:t>
            </w:r>
          </w:p>
        </w:tc>
        <w:tc>
          <w:tcPr>
            <w:tcW w:w="3000" w:type="dxa"/>
          </w:tcPr>
          <w:p>
            <w:pPr>
              <w:pStyle w:val="TableText"/>
            </w:pPr>
            <w:r>
              <w:t xml:space="preserve">Stores matters, parties, agreements, clauses, obligations, jurisdictions, evidence, correspondence, research, deadlines, versions and approvals.</w:t>
            </w:r>
          </w:p>
        </w:tc>
        <w:tc>
          <w:tcPr>
            <w:tcW w:w="3000" w:type="dxa"/>
          </w:tcPr>
          <w:p>
            <w:pPr>
              <w:pStyle w:val="TableText"/>
            </w:pPr>
            <w:r>
              <w:t xml:space="preserve">Implemented in local Python store.</w:t>
            </w:r>
          </w:p>
        </w:tc>
      </w:tr>
      <w:tr>
        <w:trPr>
          <w:cantSplit/>
        </w:trPr>
        <w:tc>
          <w:tcPr>
            <w:tcW w:w="3000" w:type="dxa"/>
          </w:tcPr>
          <w:p>
            <w:pPr>
              <w:pStyle w:val="TableText"/>
            </w:pPr>
            <w:r>
              <w:t xml:space="preserve">Record provenance</w:t>
            </w:r>
          </w:p>
        </w:tc>
        <w:tc>
          <w:tcPr>
            <w:tcW w:w="3000" w:type="dxa"/>
          </w:tcPr>
          <w:p>
            <w:pPr>
              <w:pStyle w:val="TableText"/>
            </w:pPr>
            <w:r>
              <w:t xml:space="preserve">Each record can hold user-supplied fields and provenance metadata; add/update events are recorded in the data file.</w:t>
            </w:r>
          </w:p>
        </w:tc>
        <w:tc>
          <w:tcPr>
            <w:tcW w:w="3000" w:type="dxa"/>
          </w:tcPr>
          <w:p>
            <w:pPr>
              <w:pStyle w:val="TableText"/>
            </w:pPr>
            <w:r>
              <w:t xml:space="preserve">Implemented baseline.</w:t>
            </w:r>
          </w:p>
        </w:tc>
      </w:tr>
      <w:tr>
        <w:trPr>
          <w:cantSplit/>
        </w:trPr>
        <w:tc>
          <w:tcPr>
            <w:tcW w:w="3000" w:type="dxa"/>
          </w:tcPr>
          <w:p>
            <w:pPr>
              <w:pStyle w:val="TableText"/>
            </w:pPr>
            <w:r>
              <w:t xml:space="preserve">Local data storage</w:t>
            </w:r>
          </w:p>
        </w:tc>
        <w:tc>
          <w:tcPr>
            <w:tcW w:w="3000" w:type="dxa"/>
          </w:tcPr>
          <w:p>
            <w:pPr>
              <w:pStyle w:val="TableText"/>
            </w:pPr>
            <w:r>
              <w:t xml:space="preserve">JSON-backed records with automatic creation of the data file and parent directory.</w:t>
            </w:r>
          </w:p>
        </w:tc>
        <w:tc>
          <w:tcPr>
            <w:tcW w:w="3000" w:type="dxa"/>
          </w:tcPr>
          <w:p>
            <w:pPr>
              <w:pStyle w:val="TableText"/>
            </w:pPr>
            <w:r>
              <w:t xml:space="preserve">Implemented; local/offline.</w:t>
            </w:r>
          </w:p>
        </w:tc>
      </w:tr>
      <w:tr>
        <w:trPr>
          <w:cantSplit/>
        </w:trPr>
        <w:tc>
          <w:tcPr>
            <w:tcW w:w="3000" w:type="dxa"/>
          </w:tcPr>
          <w:p>
            <w:pPr>
              <w:pStyle w:val="TableText"/>
            </w:pPr>
            <w:r>
              <w:t xml:space="preserve">Snapshots and known-good rollback</w:t>
            </w:r>
          </w:p>
        </w:tc>
        <w:tc>
          <w:tcPr>
            <w:tcW w:w="3000" w:type="dxa"/>
          </w:tcPr>
          <w:p>
            <w:pPr>
              <w:pStyle w:val="TableText"/>
            </w:pPr>
            <w:r>
              <w:t xml:space="preserve">Creates snapshots, can mark a snapshot as last-known-good (LKG), and verifies its SHA-256 hash before rollback.</w:t>
            </w:r>
          </w:p>
        </w:tc>
        <w:tc>
          <w:tcPr>
            <w:tcW w:w="3000" w:type="dxa"/>
          </w:tcPr>
          <w:p>
            <w:pPr>
              <w:pStyle w:val="TableText"/>
            </w:pPr>
            <w:r>
              <w:t xml:space="preserve">Implemented; covered by recovered self-test.</w:t>
            </w:r>
          </w:p>
        </w:tc>
      </w:tr>
      <w:tr>
        <w:trPr>
          <w:cantSplit/>
        </w:trPr>
        <w:tc>
          <w:tcPr>
            <w:tcW w:w="3000" w:type="dxa"/>
          </w:tcPr>
          <w:p>
            <w:pPr>
              <w:pStyle w:val="TableText"/>
            </w:pPr>
            <w:r>
              <w:t xml:space="preserve">Legal analysis helper</w:t>
            </w:r>
          </w:p>
        </w:tc>
        <w:tc>
          <w:tcPr>
            <w:tcW w:w="3000" w:type="dxa"/>
          </w:tcPr>
          <w:p>
            <w:pPr>
              <w:pStyle w:val="TableText"/>
            </w:pPr>
            <w:r>
              <w:t xml:space="preserve">Master prompt covers legal document and matter framing, jurisdiction and effective-date context, uncertainty, evidence traceability and approval boundaries.</w:t>
            </w:r>
          </w:p>
        </w:tc>
        <w:tc>
          <w:tcPr>
            <w:tcW w:w="3000" w:type="dxa"/>
          </w:tcPr>
          <w:p>
            <w:pPr>
              <w:pStyle w:val="TableText"/>
            </w:pPr>
            <w:r>
              <w:t xml:space="preserve">Canonical prompt recovered; behavior depends on the host AI/chat environment.</w:t>
            </w:r>
          </w:p>
        </w:tc>
      </w:tr>
      <w:tr>
        <w:trPr>
          <w:cantSplit/>
        </w:trPr>
        <w:tc>
          <w:tcPr>
            <w:tcW w:w="3000" w:type="dxa"/>
          </w:tcPr>
          <w:p>
            <w:pPr>
              <w:pStyle w:val="TableText"/>
            </w:pPr>
            <w:r>
              <w:t xml:space="preserve">Specialist prompts</w:t>
            </w:r>
          </w:p>
        </w:tc>
        <w:tc>
          <w:tcPr>
            <w:tcW w:w="3000" w:type="dxa"/>
          </w:tcPr>
          <w:p>
            <w:pPr>
              <w:pStyle w:val="TableText"/>
            </w:pPr>
            <w:r>
              <w:t xml:space="preserve">COVENANT, CLAUSE, OBLIGO, JURIS, LEXICON, MANDATE and COMPLY provide defined specialist roles.</w:t>
            </w:r>
          </w:p>
        </w:tc>
        <w:tc>
          <w:tcPr>
            <w:tcW w:w="3000" w:type="dxa"/>
          </w:tcPr>
          <w:p>
            <w:pPr>
              <w:pStyle w:val="TableText"/>
            </w:pPr>
            <w:r>
              <w:t xml:space="preserve">Historical v1.0 prompts recovered; not separate executable software services.</w:t>
            </w:r>
          </w:p>
        </w:tc>
      </w:tr>
    </w:tbl>
    <w:p>
      <w:pPr>
        <w:pStyle w:val="Heading1"/>
      </w:pPr>
      <w:r>
        <w:t xml:space="preserve">Specialist roles</w:t>
      </w:r>
    </w:p>
    <w:tbl>
      <w:tblPr>
        <w:tblStyle w:val="TableGrid"/>
        <w:tblW w:w="9000" w:type="dxa"/>
        <w:tblLayout w:type="autofit"/>
        <w:tblBorders>
          <w:top w:val="single" w:sz="5" w:color="9BA9B7"/>
          <w:left w:val="single" w:sz="5" w:color="9BA9B7"/>
          <w:bottom w:val="single" w:sz="5" w:color="9BA9B7"/>
          <w:right w:val="single" w:sz="5" w:color="9BA9B7"/>
          <w:insideH w:val="single" w:sz="5" w:color="9BA9B7"/>
          <w:insideV w:val="single" w:sz="5" w:color="9BA9B7"/>
        </w:tblBorders>
      </w:tblPr>
      <w:tblGrid>
        <w:gridCol w:w="4500"/>
        <w:gridCol w:w="4500"/>
      </w:tblGrid>
      <w:tr>
        <w:trPr>
          <w:cantSplit/>
          <w:tblHeader w:val="true"/>
        </w:trPr>
        <w:tc>
          <w:tcPr>
            <w:tcW w:w="4500" w:type="dxa"/>
            <w:shd w:fill="17365D"/>
          </w:tcPr>
          <w:p>
            <w:pPr>
              <w:pStyle w:val="TableText"/>
            </w:pPr>
            <w:r>
              <w:rPr>
                <w:b/>
                <w:color w:val="FFFFFF"/>
              </w:rPr>
              <w:t xml:space="preserve">Specialist</w:t>
            </w:r>
          </w:p>
        </w:tc>
        <w:tc>
          <w:tcPr>
            <w:tcW w:w="4500" w:type="dxa"/>
            <w:shd w:fill="17365D"/>
          </w:tcPr>
          <w:p>
            <w:pPr>
              <w:pStyle w:val="TableText"/>
            </w:pPr>
            <w:r>
              <w:rPr>
                <w:b/>
                <w:color w:val="FFFFFF"/>
              </w:rPr>
              <w:t xml:space="preserve">Role</w:t>
            </w:r>
          </w:p>
        </w:tc>
      </w:tr>
      <w:tr>
        <w:trPr>
          <w:cantSplit/>
        </w:trPr>
        <w:tc>
          <w:tcPr>
            <w:tcW w:w="4500" w:type="dxa"/>
          </w:tcPr>
          <w:p>
            <w:pPr>
              <w:pStyle w:val="TableText"/>
            </w:pPr>
            <w:r>
              <w:t xml:space="preserve">COVENANT</w:t>
            </w:r>
          </w:p>
        </w:tc>
        <w:tc>
          <w:tcPr>
            <w:tcW w:w="4500" w:type="dxa"/>
          </w:tcPr>
          <w:p>
            <w:pPr>
              <w:pStyle w:val="TableText"/>
            </w:pPr>
            <w:r>
              <w:t xml:space="preserve">Structure agreements and identify parties, terms, rights, conditions, remedies, notices and dependencies.</w:t>
            </w:r>
          </w:p>
        </w:tc>
      </w:tr>
      <w:tr>
        <w:trPr>
          <w:cantSplit/>
        </w:trPr>
        <w:tc>
          <w:tcPr>
            <w:tcW w:w="4500" w:type="dxa"/>
          </w:tcPr>
          <w:p>
            <w:pPr>
              <w:pStyle w:val="TableText"/>
            </w:pPr>
            <w:r>
              <w:t xml:space="preserve">CLAUSE</w:t>
            </w:r>
          </w:p>
        </w:tc>
        <w:tc>
          <w:tcPr>
            <w:tcW w:w="4500" w:type="dxa"/>
          </w:tcPr>
          <w:p>
            <w:pPr>
              <w:pStyle w:val="TableText"/>
            </w:pPr>
            <w:r>
              <w:t xml:space="preserve">Analyze clauses in their controlling document context; identify ambiguity, conflict and missing references.</w:t>
            </w:r>
          </w:p>
        </w:tc>
      </w:tr>
      <w:tr>
        <w:trPr>
          <w:cantSplit/>
        </w:trPr>
        <w:tc>
          <w:tcPr>
            <w:tcW w:w="4500" w:type="dxa"/>
          </w:tcPr>
          <w:p>
            <w:pPr>
              <w:pStyle w:val="TableText"/>
            </w:pPr>
            <w:r>
              <w:t xml:space="preserve">OBLIGO</w:t>
            </w:r>
          </w:p>
        </w:tc>
        <w:tc>
          <w:tcPr>
            <w:tcW w:w="4500" w:type="dxa"/>
          </w:tcPr>
          <w:p>
            <w:pPr>
              <w:pStyle w:val="TableText"/>
            </w:pPr>
            <w:r>
              <w:t xml:space="preserve">Structure rights, obligations, responsible parties, triggers, deadlines and consequences.</w:t>
            </w:r>
          </w:p>
        </w:tc>
      </w:tr>
      <w:tr>
        <w:trPr>
          <w:cantSplit/>
        </w:trPr>
        <w:tc>
          <w:tcPr>
            <w:tcW w:w="4500" w:type="dxa"/>
          </w:tcPr>
          <w:p>
            <w:pPr>
              <w:pStyle w:val="TableText"/>
            </w:pPr>
            <w:r>
              <w:t xml:space="preserve">JURIS</w:t>
            </w:r>
          </w:p>
        </w:tc>
        <w:tc>
          <w:tcPr>
            <w:tcW w:w="4500" w:type="dxa"/>
          </w:tcPr>
          <w:p>
            <w:pPr>
              <w:pStyle w:val="TableText"/>
            </w:pPr>
            <w:r>
              <w:t xml:space="preserve">Frame jurisdiction, legal hierarchy, effective dates, regulatory scope and authority requirements.</w:t>
            </w:r>
          </w:p>
        </w:tc>
      </w:tr>
      <w:tr>
        <w:trPr>
          <w:cantSplit/>
        </w:trPr>
        <w:tc>
          <w:tcPr>
            <w:tcW w:w="4500" w:type="dxa"/>
          </w:tcPr>
          <w:p>
            <w:pPr>
              <w:pStyle w:val="TableText"/>
            </w:pPr>
            <w:r>
              <w:t xml:space="preserve">LEXICON</w:t>
            </w:r>
          </w:p>
        </w:tc>
        <w:tc>
          <w:tcPr>
            <w:tcW w:w="4500" w:type="dxa"/>
          </w:tcPr>
          <w:p>
            <w:pPr>
              <w:pStyle w:val="TableText"/>
            </w:pPr>
            <w:r>
              <w:t xml:space="preserve">Normalize legal terminology, defined terms, citations, cross-references and relationships while preserving source wording.</w:t>
            </w:r>
          </w:p>
        </w:tc>
      </w:tr>
      <w:tr>
        <w:trPr>
          <w:cantSplit/>
        </w:trPr>
        <w:tc>
          <w:tcPr>
            <w:tcW w:w="4500" w:type="dxa"/>
          </w:tcPr>
          <w:p>
            <w:pPr>
              <w:pStyle w:val="TableText"/>
            </w:pPr>
            <w:r>
              <w:t xml:space="preserve">MANDATE</w:t>
            </w:r>
          </w:p>
        </w:tc>
        <w:tc>
          <w:tcPr>
            <w:tcW w:w="4500" w:type="dxa"/>
          </w:tcPr>
          <w:p>
            <w:pPr>
              <w:pStyle w:val="TableText"/>
            </w:pPr>
            <w:r>
              <w:t xml:space="preserve">Structure matters, issues, requested outcomes, notices, actions, approvals and dependencies.</w:t>
            </w:r>
          </w:p>
        </w:tc>
      </w:tr>
      <w:tr>
        <w:trPr>
          <w:cantSplit/>
        </w:trPr>
        <w:tc>
          <w:tcPr>
            <w:tcW w:w="4500" w:type="dxa"/>
          </w:tcPr>
          <w:p>
            <w:pPr>
              <w:pStyle w:val="TableText"/>
            </w:pPr>
            <w:r>
              <w:t xml:space="preserve">COMPLY</w:t>
            </w:r>
          </w:p>
        </w:tc>
        <w:tc>
          <w:tcPr>
            <w:tcW w:w="4500" w:type="dxa"/>
          </w:tcPr>
          <w:p>
            <w:pPr>
              <w:pStyle w:val="TableText"/>
            </w:pPr>
            <w:r>
              <w:t xml:space="preserve">Map requirements to controls and evidence; distinguish PASS, FAIL, UNKNOWN and NOT_APPLICABLE.</w:t>
            </w:r>
          </w:p>
        </w:tc>
      </w:tr>
    </w:tbl>
    <w:p>
      <w:pPr>
        <w:pStyle w:val="Heading1"/>
      </w:pPr>
      <w:r>
        <w:t xml:space="preserve">How the product fits together</w:t>
      </w:r>
    </w:p>
    <w:p>
      <w:pPr>
        <w:pStyle w:val="Normal"/>
      </w:pPr>
      <w:r>
        <w:t xml:space="preserve">The canonical helper assigns legal-domain meaning to THEMIS while keeping adjacent capabilities independently owned. ARGOS supplies external research; CHRONOS owns persistent temporal structure and deadlines; BIFROST owns canonical identity and provenance across systems; CONDUCTOR owns orchestration; CASPER supports polished writing; MIRROR supports comparison and version review; LINGUA supports translation. These are documented role boundaries, not proof that live adapters are bundled in the v0.1.0 code.</w:t>
      </w:r>
    </w:p>
    <w:p>
      <w:pPr>
        <w:pStyle w:val="Heading1"/>
      </w:pPr>
      <w:r>
        <w:t xml:space="preserve">Interfaces and platforms</w:t>
      </w:r>
    </w:p>
    <w:p>
      <w:pPr>
        <w:pStyle w:val="Normal"/>
      </w:pPr>
      <w:r>
        <w:t xml:space="preserve">The recovered software is a Python command-line package with no graphical interface in this baseline. The prompt can be used in a compatible conversational host, but the persistent control surface described in the prompt depends on host support. No separate PWA, iOS, macOS app, Windows app or Android app was found in the recovered implementation package; those platform implementations are not claimed here.</w:t>
      </w:r>
    </w:p>
    <w:p>
      <w:pPr>
        <w:pStyle w:val="Heading1"/>
      </w:pPr>
      <w:r>
        <w:t xml:space="preserve">Data and integrations</w:t>
      </w:r>
    </w:p>
    <w:p>
      <w:pPr>
        <w:pStyle w:val="ListParagraph"/>
      </w:pPr>
      <w:r>
        <w:t xml:space="preserve">• </w:t>
      </w:r>
      <w:r>
        <w:t xml:space="preserve">Records are stored in a local JSON file; the default CLI path is </w:t>
      </w:r>
      <w:r>
        <w:t xml:space="preserve">data/themis.json</w:t>
      </w:r>
      <w:r>
        <w:t xml:space="preserve">.</w:t>
      </w:r>
    </w:p>
    <w:p>
      <w:pPr>
        <w:pStyle w:val="ListParagraph"/>
      </w:pPr>
      <w:r>
        <w:t xml:space="preserve">• </w:t>
      </w:r>
      <w:r>
        <w:t xml:space="preserve">Snapshots are written into a sibling </w:t>
      </w:r>
      <w:r>
        <w:t xml:space="preserve">snapshots/</w:t>
      </w:r>
      <w:r>
        <w:t xml:space="preserve"> directory.</w:t>
      </w:r>
    </w:p>
    <w:p>
      <w:pPr>
        <w:pStyle w:val="ListParagraph"/>
      </w:pPr>
      <w:r>
        <w:t xml:space="preserve">• </w:t>
      </w:r>
      <w:r>
        <w:t xml:space="preserve">Record fields and provenance are supplied as JSON objects by the user.</w:t>
      </w:r>
    </w:p>
    <w:p>
      <w:pPr>
        <w:pStyle w:val="ListParagraph"/>
      </w:pPr>
      <w:r>
        <w:t xml:space="preserve">• </w:t>
      </w:r>
      <w:r>
        <w:t xml:space="preserve">Integration descriptors exist for BIFROST, HEIMDALL and shared-capability request/response envelopes. Evidence classifies these as descriptors/contracts, not live runtime adapters.</w:t>
      </w:r>
    </w:p>
    <w:p>
      <w:pPr>
        <w:pStyle w:val="ListParagraph"/>
      </w:pPr>
      <w:r>
        <w:t xml:space="preserve">• </w:t>
      </w:r>
      <w:r>
        <w:t xml:space="preserve">The baseline uses the Python standard library and can operate offline.</w:t>
      </w:r>
    </w:p>
    <w:p>
      <w:pPr>
        <w:pStyle w:val="Heading1"/>
      </w:pPr>
      <w:r>
        <w:t xml:space="preserve">Privacy, security and user control</w:t>
      </w:r>
    </w:p>
    <w:p>
      <w:pPr>
        <w:pStyle w:val="Normal"/>
      </w:pPr>
      <w:r>
        <w:t xml:space="preserve">The local implementation does not require a remote service for record-store operations. Its JSON data and snapshots are ordinary local files; the recovered baseline does not implement encryption, user authentication, access-control policy, secure multi-user sharing or a secrets vault. Protect the folder using operating-system access controls and device security. Local storage alone is not a security certification.</w:t>
      </w:r>
    </w:p>
    <w:p>
      <w:pPr>
        <w:pStyle w:val="Normal"/>
      </w:pPr>
      <w:r>
        <w:t xml:space="preserve">Analysis and recommendations are not authorization. Legal filings, notices, external communications, irreversible changes and other consequential actions require explicit user approval and the appropriate external mechanism. Jurisdiction and effective date should be established rather than assumed. Uncertain material must not be presented as definitive legal advice.</w:t>
      </w:r>
    </w:p>
    <w:p>
      <w:pPr>
        <w:pStyle w:val="Heading1"/>
      </w:pPr>
      <w:r>
        <w:t xml:space="preserve">Requirements and limitations</w:t>
      </w:r>
    </w:p>
    <w:tbl>
      <w:tblPr>
        <w:tblStyle w:val="TableGrid"/>
        <w:tblW w:w="9000" w:type="dxa"/>
        <w:tblLayout w:type="autofit"/>
        <w:tblBorders>
          <w:top w:val="single" w:sz="5" w:color="9BA9B7"/>
          <w:left w:val="single" w:sz="5" w:color="9BA9B7"/>
          <w:bottom w:val="single" w:sz="5" w:color="9BA9B7"/>
          <w:right w:val="single" w:sz="5" w:color="9BA9B7"/>
          <w:insideH w:val="single" w:sz="5" w:color="9BA9B7"/>
          <w:insideV w:val="single" w:sz="5" w:color="9BA9B7"/>
        </w:tblBorders>
      </w:tblPr>
      <w:tblGrid>
        <w:gridCol w:w="4500"/>
        <w:gridCol w:w="4500"/>
      </w:tblGrid>
      <w:tr>
        <w:trPr>
          <w:cantSplit/>
          <w:tblHeader w:val="true"/>
        </w:trPr>
        <w:tc>
          <w:tcPr>
            <w:tcW w:w="4500" w:type="dxa"/>
            <w:shd w:fill="17365D"/>
          </w:tcPr>
          <w:p>
            <w:pPr>
              <w:pStyle w:val="TableText"/>
            </w:pPr>
            <w:r>
              <w:rPr>
                <w:b/>
                <w:color w:val="FFFFFF"/>
              </w:rPr>
              <w:t xml:space="preserve">Item</w:t>
            </w:r>
          </w:p>
        </w:tc>
        <w:tc>
          <w:tcPr>
            <w:tcW w:w="4500" w:type="dxa"/>
            <w:shd w:fill="17365D"/>
          </w:tcPr>
          <w:p>
            <w:pPr>
              <w:pStyle w:val="TableText"/>
            </w:pPr>
            <w:r>
              <w:rPr>
                <w:b/>
                <w:color w:val="FFFFFF"/>
              </w:rPr>
              <w:t xml:space="preserve">Current evidence</w:t>
            </w:r>
          </w:p>
        </w:tc>
      </w:tr>
      <w:tr>
        <w:trPr>
          <w:cantSplit/>
        </w:trPr>
        <w:tc>
          <w:tcPr>
            <w:tcW w:w="4500" w:type="dxa"/>
          </w:tcPr>
          <w:p>
            <w:pPr>
              <w:pStyle w:val="TableText"/>
            </w:pPr>
            <w:r>
              <w:t xml:space="preserve">Runtime</w:t>
            </w:r>
          </w:p>
        </w:tc>
        <w:tc>
          <w:tcPr>
            <w:tcW w:w="4500" w:type="dxa"/>
          </w:tcPr>
          <w:p>
            <w:pPr>
              <w:pStyle w:val="TableText"/>
            </w:pPr>
            <w:r>
              <w:t xml:space="preserve">Package requires Python 3.10+. This Mac has Python 3.12.4 available; its default python3 is 3.9.4 and is too old. Use python3.12.</w:t>
            </w:r>
          </w:p>
        </w:tc>
      </w:tr>
      <w:tr>
        <w:trPr>
          <w:cantSplit/>
        </w:trPr>
        <w:tc>
          <w:tcPr>
            <w:tcW w:w="4500" w:type="dxa"/>
          </w:tcPr>
          <w:p>
            <w:pPr>
              <w:pStyle w:val="TableText"/>
            </w:pPr>
            <w:r>
              <w:t xml:space="preserve">Data model</w:t>
            </w:r>
          </w:p>
        </w:tc>
        <w:tc>
          <w:tcPr>
            <w:tcW w:w="4500" w:type="dxa"/>
          </w:tcPr>
          <w:p>
            <w:pPr>
              <w:pStyle w:val="TableText"/>
            </w:pPr>
            <w:r>
              <w:t xml:space="preserve">Twelve record kinds; additional fields are free-form JSON objects.</w:t>
            </w:r>
          </w:p>
        </w:tc>
      </w:tr>
      <w:tr>
        <w:trPr>
          <w:cantSplit/>
        </w:trPr>
        <w:tc>
          <w:tcPr>
            <w:tcW w:w="4500" w:type="dxa"/>
          </w:tcPr>
          <w:p>
            <w:pPr>
              <w:pStyle w:val="TableText"/>
            </w:pPr>
            <w:r>
              <w:t xml:space="preserve">Editing records</w:t>
            </w:r>
          </w:p>
        </w:tc>
        <w:tc>
          <w:tcPr>
            <w:tcW w:w="4500" w:type="dxa"/>
          </w:tcPr>
          <w:p>
            <w:pPr>
              <w:pStyle w:val="TableText"/>
            </w:pPr>
            <w:r>
              <w:t xml:space="preserve">The underlying store has an update method, but the recovered CLI exposes add, list, snapshot and rollback-lkg only. There is no CLI update or delete command.</w:t>
            </w:r>
          </w:p>
        </w:tc>
      </w:tr>
      <w:tr>
        <w:trPr>
          <w:cantSplit/>
        </w:trPr>
        <w:tc>
          <w:tcPr>
            <w:tcW w:w="4500" w:type="dxa"/>
          </w:tcPr>
          <w:p>
            <w:pPr>
              <w:pStyle w:val="TableText"/>
            </w:pPr>
            <w:r>
              <w:t xml:space="preserve">Legal sources</w:t>
            </w:r>
          </w:p>
        </w:tc>
        <w:tc>
          <w:tcPr>
            <w:tcW w:w="4500" w:type="dxa"/>
          </w:tcPr>
          <w:p>
            <w:pPr>
              <w:pStyle w:val="TableText"/>
            </w:pPr>
            <w:r>
              <w:t xml:space="preserve">No integrated legal database, automatic current-law research, citation verification or jurisdiction-specific legal opinion is implemented in this baseline.</w:t>
            </w:r>
          </w:p>
        </w:tc>
      </w:tr>
      <w:tr>
        <w:trPr>
          <w:cantSplit/>
        </w:trPr>
        <w:tc>
          <w:tcPr>
            <w:tcW w:w="4500" w:type="dxa"/>
          </w:tcPr>
          <w:p>
            <w:pPr>
              <w:pStyle w:val="TableText"/>
            </w:pPr>
            <w:r>
              <w:t xml:space="preserve">Release</w:t>
            </w:r>
          </w:p>
        </w:tc>
        <w:tc>
          <w:tcPr>
            <w:tcW w:w="4500" w:type="dxa"/>
          </w:tcPr>
          <w:p>
            <w:pPr>
              <w:pStyle w:val="TableText"/>
            </w:pPr>
            <w:r>
              <w:t xml:space="preserve">Version 0.1.0 is recorded as generated, saved, compiled, tested and verified in its source evidence, but explicitly NOT RELEASED. Local validation is repeated separately for this working copy.</w:t>
            </w:r>
          </w:p>
        </w:tc>
      </w:tr>
    </w:tbl>
    <w:p>
      <w:pPr>
        <w:pStyle w:val="Heading1"/>
      </w:pPr>
      <w:r>
        <w:t xml:space="preserve">Availability and version</w:t>
      </w:r>
    </w:p>
    <w:p>
      <w:pPr>
        <w:pStyle w:val="Normal"/>
      </w:pPr>
      <w:r>
        <w:t xml:space="preserve">The working baseline is private and experimental, version 0.1.0. The master helper and specialist prompts are recovered as version 1.0 historical definitions. The v0.1.0 code is an evidence-bounded implementation, not proof of full historical feature parity. No public release or supported distribution channel is established by the recovered evidence.</w:t>
      </w:r>
    </w:p>
    <w:p>
      <w:pPr>
        <w:pStyle w:val="Normal"/>
      </w:pPr>
      <w:r>
        <w:t xml:space="preserve">THEMIS organizes legal information and supports analysis. It does not itself establish that a legal position is correct, that compliance has been achieved, or that an external legal action has been filed or accepted.</w:t>
      </w:r>
    </w:p>
    <w:p>
      <w:pPr>
        <w:pStyle w:val="CaptionCustom"/>
        <w:jc w:val="center"/>
      </w:pPr>
      <w:r>
        <w:t xml:space="preserve">THEMIS Product Description · October 2026</w:t>
      </w:r>
    </w:p>
    <w:sectPr>
      <w:headerReference w:type="default" r:id="rId2"/>
      <w:footerReference w:type="default" r:id="rId3"/>
      <w:pgSz w:w="11906" w:h="16838"/>
      <w:pgMar w:top="1247" w:right="1134" w:bottom="1134" w:left="1134" w:header="567" w:footer="567" w:gutter="0"/>
    </w:sectPr>
  </w:body>
</w:document>
</file>

<file path=word/footer1.xml><?xml version="1.0" encoding="utf-8"?>
<w:ftr xmlns:w="http://schemas.openxmlformats.org/wordprocessingml/2006/main">
  <w:p>
    <w:pPr>
      <w:pStyle w:val="CaptionCustom"/>
      <w:jc w:val="center"/>
    </w:pPr>
    <w:r>
      <w:t>THEMIS  •  </w:t>
    </w:r>
    <w:fldSimple w:instr="PAGE">
      <w:r>
        <w:t>1</w:t>
      </w:r>
    </w:fldSimple>
  </w:p>
</w:ftr>
</file>

<file path=word/header1.xml><?xml version="1.0" encoding="utf-8"?>
<w:hdr xmlns:w="http://schemas.openxmlformats.org/wordprocessingml/2006/main">
  <w:p>
    <w:pPr>
      <w:pStyle w:val="CaptionCustom"/>
      <w:jc w:val="right"/>
    </w:pPr>
    <w:r>
      <w:t>THEMIS</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ptos" w:hAnsi="Aptos"/>
        <w:sz w:val="21"/>
        <w:color w:val="202936"/>
      </w:rPr>
    </w:rPrDefault>
    <w:pPrDefault>
      <w:pPr>
        <w:spacing w:after="140" w:line="300" w:lineRule="auto"/>
      </w:pPr>
    </w:pPrDefault>
  </w:docDefaults>
  <w:style w:type="paragraph" w:default="1" w:styleId="Normal">
    <w:name w:val="Normal"/>
    <w:rPr>
      <w:rFonts w:ascii="Aptos" w:hAnsi="Aptos"/>
      <w:sz w:val="21"/>
    </w:rPr>
  </w:style>
  <w:style w:type="paragraph" w:styleId="Heading1">
    <w:name w:val="heading 1"/>
    <w:basedOn w:val="Normal"/>
    <w:next w:val="Normal"/>
    <w:qFormat/>
    <w:pPr>
      <w:keepNext/>
      <w:spacing w:before="400" w:after="180"/>
      <w:outlineLvl w:val="0"/>
    </w:pPr>
    <w:rPr>
      <w:rFonts w:ascii="Aptos Display" w:hAnsi="Aptos Display"/>
      <w:b/>
      <w:color w:val="17365D"/>
      <w:sz w:val="36"/>
    </w:rPr>
  </w:style>
  <w:style w:type="paragraph" w:styleId="Heading2">
    <w:name w:val="heading 2"/>
    <w:basedOn w:val="Normal"/>
    <w:next w:val="Normal"/>
    <w:qFormat/>
    <w:pPr>
      <w:keepNext/>
      <w:spacing w:before="300" w:after="120"/>
      <w:outlineLvl w:val="1"/>
    </w:pPr>
    <w:rPr>
      <w:b/>
      <w:color w:val="1F4E79"/>
      <w:sz w:val="27"/>
    </w:rPr>
  </w:style>
  <w:style w:type="paragraph" w:styleId="Heading3">
    <w:name w:val="heading 3"/>
    <w:basedOn w:val="Normal"/>
    <w:next w:val="Normal"/>
    <w:qFormat/>
    <w:pPr>
      <w:keepNext/>
      <w:spacing w:before="220" w:after="80"/>
      <w:outlineLvl w:val="2"/>
    </w:pPr>
    <w:rPr>
      <w:b/>
      <w:color w:val="365F91"/>
      <w:sz w:val="23"/>
    </w:rPr>
  </w:style>
  <w:style w:type="paragraph" w:styleId="Title">
    <w:name w:val="Title"/>
    <w:basedOn w:val="Normal"/>
    <w:rPr>
      <w:b/>
      <w:color w:val="17365D"/>
      <w:sz w:val="72"/>
    </w:rPr>
  </w:style>
  <w:style w:type="paragraph" w:styleId="SubtitleCustom">
    <w:name w:val="Subtitle"/>
    <w:basedOn w:val="Normal"/>
    <w:rPr>
      <w:color w:val="365F91"/>
      <w:sz w:val="34"/>
    </w:rPr>
  </w:style>
  <w:style w:type="paragraph" w:styleId="Lead">
    <w:name w:val="Lead"/>
    <w:basedOn w:val="Normal"/>
    <w:pPr>
      <w:spacing w:after="220"/>
    </w:pPr>
    <w:rPr>
      <w:color w:val="365F91"/>
      <w:sz w:val="26"/>
    </w:rPr>
  </w:style>
  <w:style w:type="paragraph" w:styleId="CaptionCustom">
    <w:name w:val="Caption"/>
    <w:basedOn w:val="Normal"/>
    <w:rPr>
      <w:color w:val="586574"/>
      <w:sz w:val="18"/>
    </w:rPr>
  </w:style>
  <w:style w:type="paragraph" w:styleId="ListParagraph">
    <w:name w:val="List Paragraph"/>
    <w:basedOn w:val="Normal"/>
    <w:pPr>
      <w:ind w:left="360" w:hanging="240"/>
      <w:spacing w:after="100"/>
    </w:pPr>
  </w:style>
  <w:style w:type="paragraph" w:styleId="TableText">
    <w:name w:val="Table Text"/>
    <w:basedOn w:val="Normal"/>
    <w:rPr>
      <w:sz w:val="18"/>
    </w:rPr>
    <w:pPr>
      <w:spacing w:after="60" w:line="240"/>
    </w:pPr>
  </w:style>
  <w:style w:type="paragraph" w:styleId="TableHeader">
    <w:name w:val="Table Header"/>
    <w:basedOn w:val="TableText"/>
    <w:rPr>
      <w:b/>
      <w:color w:val="FFFFFF"/>
      <w:sz w:val="18"/>
    </w:rPr>
  </w:style>
  <w:style w:type="paragraph" w:styleId="Example">
    <w:name w:val="Example"/>
    <w:basedOn w:val="Normal"/>
    <w:pPr>
      <w:shd w:fill="F3F5F7"/>
      <w:ind w:left="180" w:right="180"/>
      <w:spacing w:before="120" w:after="180"/>
    </w:pPr>
  </w:style>
  <w:style w:type="table" w:styleId="TableGrid">
    <w:name w:val="Table Grid"/>
    <w:tblPr>
      <w:tblBorders>
        <w:top w:val="single" w:sz="5" w:color="9BA9B7"/>
        <w:left w:val="single" w:sz="5" w:color="9BA9B7"/>
        <w:bottom w:val="single" w:sz="5" w:color="9BA9B7"/>
        <w:right w:val="single" w:sz="5" w:color="9BA9B7"/>
        <w:insideH w:val="single" w:sz="5" w:color="9BA9B7"/>
        <w:insideV w:val="single" w:sz="5" w:color="9BA9B7"/>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ettings" Target="settings.xml"/></Relationships>
</file>