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Times New Roman" w:cs="Calibri" w:cstheme="minorHAnsi"/>
          <w:b/>
          <w:bCs/>
          <w:color w:val="202124"/>
          <w:spacing w:val="1"/>
          <w:sz w:val="28"/>
          <w:szCs w:val="28"/>
          <w:lang w:val="pt-BR"/>
        </w:rPr>
      </w:pPr>
      <w:r>
        <w:rPr>
          <w:rFonts w:eastAsia="Times New Roman" w:cs="Calibri" w:cstheme="minorHAnsi"/>
          <w:b/>
          <w:bCs/>
          <w:color w:val="202124"/>
          <w:spacing w:val="1"/>
          <w:sz w:val="28"/>
          <w:szCs w:val="28"/>
          <w:lang w:val="pt-BR"/>
        </w:rPr>
        <w:t>Assombrações de um Futuro Passado e a Impossibilidade de Criar o Novo</w:t>
      </w:r>
    </w:p>
    <w:p>
      <w:pPr>
        <w:pStyle w:val="Normal"/>
        <w:rPr>
          <w:rFonts w:ascii="Arial" w:hAnsi="Arial" w:eastAsia="Times New Roman" w:cs="Arial"/>
          <w:b/>
          <w:bCs/>
          <w:color w:val="202124"/>
          <w:spacing w:val="1"/>
          <w:sz w:val="24"/>
          <w:szCs w:val="24"/>
          <w:lang w:val="pt-BR"/>
        </w:rPr>
      </w:pPr>
      <w:r>
        <w:rPr>
          <w:lang w:val="pt-BR"/>
        </w:rPr>
        <w:t xml:space="preserve">Publicação Original: </w:t>
      </w:r>
      <w:hyperlink r:id="rId2">
        <w:r>
          <w:rPr>
            <w:rStyle w:val="Hyperlink"/>
            <w:lang w:val="pt-BR"/>
          </w:rPr>
          <w:t>https://www.estadao.com.br/politica/gestao-politica-e-sociedade/assombracoes-de-um-futuro-passado-e-a-impossibilidade-de-criar-o-novo/</w:t>
        </w:r>
      </w:hyperlink>
      <w:r>
        <w:rPr>
          <w:lang w:val="pt-BR"/>
        </w:rPr>
        <w:t xml:space="preserve"> </w:t>
        <w:br/>
        <w:t>Data: 31/03/2023 | 21h59</w:t>
      </w:r>
    </w:p>
    <w:p>
      <w:pPr>
        <w:pStyle w:val="Normal"/>
        <w:rPr>
          <w:lang w:val="pt-BR"/>
        </w:rPr>
      </w:pPr>
      <w:r>
        <w:rPr>
          <w:lang w:val="pt-BR"/>
        </w:rPr>
        <w:t xml:space="preserve">Recentemente me deparei com um vídeo de análise muito interessante pelo </w:t>
      </w:r>
      <w:hyperlink r:id="rId3">
        <w:r>
          <w:rPr>
            <w:rStyle w:val="Hyperlink"/>
            <w:lang w:val="pt-BR"/>
          </w:rPr>
          <w:t>Alexandre Linck</w:t>
        </w:r>
      </w:hyperlink>
      <w:r>
        <w:rPr>
          <w:lang w:val="pt-BR"/>
        </w:rPr>
        <w:t xml:space="preserve"> em </w:t>
      </w:r>
      <w:hyperlink r:id="rId4">
        <w:r>
          <w:rPr>
            <w:rStyle w:val="Hyperlink"/>
            <w:lang w:val="pt-BR"/>
          </w:rPr>
          <w:t>seu canal do YouTube, Quadrinhos na Sarjeta</w:t>
        </w:r>
      </w:hyperlink>
      <w:r>
        <w:rPr>
          <w:lang w:val="pt-BR"/>
        </w:rPr>
        <w:t xml:space="preserve">. Intitulado </w:t>
      </w:r>
      <w:hyperlink r:id="rId5">
        <w:r>
          <w:rPr>
            <w:rStyle w:val="Hyperlink"/>
            <w:lang w:val="pt-BR"/>
          </w:rPr>
          <w:t>“ESTAMOS FAZENDO PAPEL DE TROUXA!!! A censura do bem das grandes marcas”</w:t>
        </w:r>
      </w:hyperlink>
      <w:r>
        <w:rPr>
          <w:lang w:val="pt-BR"/>
        </w:rPr>
        <w:t>, o vídeo é definitivamente um respiro necessário de sensatez dentro do oceano alucinado, moralista e – ironicamente – raso que toma conta da discussão sobre releituras de obras passadas, em especial aquelas que apresentam conteúdos problemáticos. Seja a argumentação conservadora de manutenção dessas obras em sua forma original, sem advogar por análises críticas e problematizações sobre as obras, ou o progressismo rasteiro que defende a reescrita das obras e a supressão dos originais, o vídeo nos mostra quão equivocadas têm sido as vertentes que mais proliferam sobre o assunto.</w:t>
      </w:r>
    </w:p>
    <w:p>
      <w:pPr>
        <w:pStyle w:val="Normal"/>
        <w:rPr>
          <w:lang w:val="pt-BR"/>
        </w:rPr>
      </w:pPr>
      <w:r>
        <w:rPr>
          <w:lang w:val="pt-BR"/>
        </w:rPr>
      </w:r>
    </w:p>
    <w:p>
      <w:pPr>
        <w:pStyle w:val="Normal"/>
        <w:rPr>
          <w:lang w:val="pt-BR"/>
        </w:rPr>
      </w:pPr>
      <w:r>
        <w:rPr>
          <w:lang w:val="pt-BR"/>
        </w:rPr>
        <w:t xml:space="preserve">Para Linck, em resumo – assistam </w:t>
      </w:r>
      <w:hyperlink r:id="rId6">
        <w:r>
          <w:rPr>
            <w:rStyle w:val="Hyperlink"/>
            <w:lang w:val="pt-BR"/>
          </w:rPr>
          <w:t>ao vídeo</w:t>
        </w:r>
      </w:hyperlink>
      <w:r>
        <w:rPr>
          <w:lang w:val="pt-BR"/>
        </w:rPr>
        <w:t xml:space="preserve"> para saber em detalhes –, a reescrita de obras problemáticas citadas, como O Sítio do Pica-pau Amarelo, James Bond e Tio Patinhas, pode até fazer sentido se pensarmos como adaptações voltadas para públicos infantis, que careceriam de recursos interpretativos críticos para lerem tais obras em sua forma original – cheias de estereótipos, racismo, homofobia e outros preconceitos. Mas a extinção de suas versões originais é, no mínimo, problemática. Ele defende, então, uma acessibilidade responsável, de maneira que as obras originais se mantenham disponíveis, talvez em versões comentadas por estudiosos do assunto problemático, e sua leitura seja realizada de maneira crítica em espaços adequados – como museus ou salas de aula.</w:t>
      </w:r>
    </w:p>
    <w:p>
      <w:pPr>
        <w:pStyle w:val="Normal"/>
        <w:rPr>
          <w:lang w:val="pt-BR"/>
        </w:rPr>
      </w:pPr>
      <w:r>
        <w:rPr>
          <w:lang w:val="pt-BR"/>
        </w:rPr>
      </w:r>
    </w:p>
    <w:p>
      <w:pPr>
        <w:pStyle w:val="Normal"/>
        <w:rPr>
          <w:lang w:val="pt-BR"/>
        </w:rPr>
      </w:pPr>
      <w:r>
        <w:rPr>
          <w:lang w:val="pt-BR"/>
        </w:rPr>
        <w:t xml:space="preserve">Nesse sentido, a inexistência dessa disponibilização leva Linck a concluir que tudo isso é apenas um movimento de “fascismo </w:t>
      </w:r>
      <w:r>
        <w:rPr>
          <w:i/>
          <w:iCs/>
          <w:lang w:val="pt-BR"/>
        </w:rPr>
        <w:t>soft</w:t>
      </w:r>
      <w:r>
        <w:rPr>
          <w:lang w:val="pt-BR"/>
        </w:rPr>
        <w:t xml:space="preserve">”, mas coberto de uma camada superficial de politicamente correto. Muito análogo, Linck nos conta, ao que vemos na adaptação cinematográfica de 1966 e dirigida por François Truffaut do livro </w:t>
      </w:r>
      <w:r>
        <w:rPr>
          <w:i/>
          <w:iCs/>
          <w:lang w:val="pt-BR"/>
        </w:rPr>
        <w:t>Fahrenheit 451:</w:t>
      </w:r>
      <w:r>
        <w:rPr>
          <w:lang w:val="pt-BR"/>
        </w:rPr>
        <w:t xml:space="preserve"> a partir do banimento de livros como </w:t>
      </w:r>
      <w:r>
        <w:rPr>
          <w:i/>
          <w:iCs/>
          <w:lang w:val="pt-BR"/>
        </w:rPr>
        <w:t>Mein Kampf</w:t>
      </w:r>
      <w:r>
        <w:rPr>
          <w:lang w:val="pt-BR"/>
        </w:rPr>
        <w:t xml:space="preserve"> sob a premissa de censurar obras problemáticas, forma-se um estado fascista onde livros são banidos completamente. Como o vídeo explica, a lógica de limpeza cultural e moral, de apagamento do que veio antes em nome da construção de uma cultura nova e pura, sempre esteve presente no fascismo no mundo real. Além disso, esse apagamento serve muito bem aos interesses de grandes estúdios e editoras, a medida em que seu passado pode não cair bem com o público contemporâneo. Nada melhor, portanto, do que jogar toda a problemática de suas histórias para de baixo do tapete e fingir que nada nunca aconteceu.</w:t>
      </w:r>
    </w:p>
    <w:p>
      <w:pPr>
        <w:pStyle w:val="Normal"/>
        <w:rPr>
          <w:lang w:val="pt-BR"/>
        </w:rPr>
      </w:pPr>
      <w:r>
        <w:rPr>
          <w:lang w:val="pt-BR"/>
        </w:rPr>
      </w:r>
    </w:p>
    <w:p>
      <w:pPr>
        <w:pStyle w:val="Normal"/>
        <w:rPr>
          <w:lang w:val="pt-BR"/>
        </w:rPr>
      </w:pPr>
      <w:r>
        <w:rPr>
          <w:lang w:val="pt-BR"/>
        </w:rPr>
        <w:t xml:space="preserve">Um ponto que Linck passa rapidamente e que eu gostaria de aprofundar nesta discussão não é a crítica ideológica e mercadológica do modo e da utilidade pelas quais essas obras têm sido alteradas, mas como, na modernidade tardia, nos encontramos assombrados pelos fantasmas do passado, e impossibilitados de imaginar algo novo. Atualmente, perdemos “a capacidade de conceber um mundo radicalmente diferente do em que atualmente vivemos” </w:t>
      </w:r>
      <w:r>
        <w:fldChar w:fldCharType="begin"/>
      </w:r>
      <w:r>
        <w:rPr>
          <w:lang w:val="pt-BR"/>
        </w:rPr>
        <w:instrText xml:space="preserve">ADDIN ZOTERO_ITEM CSL_CITATION {"citationID":"NftkInFQ","properties":{"formattedCitation":"(Fisher, 2012, p. 16, tradu\\uc0\\u231{}\\uc0\\u227{}o minha)","plainCitation":"(Fisher, 2012, p. 16, tradução minha)","noteIndex":0},"citationItems":[{"id":2760,"uris":["http://zotero.org/users/7863797/items/C8PR5PS3"],"itemData":{"id":2760,"type":"article-journal","abstract":"Consideration of the idea of hauntology encompassing Jacques Derrida’s introduction of the term in Specters of Marx; Fredric Jameson’s analyses of postmodernism and The Shining; and a British tradition of literature, film, and television by such authors as John Akomfrah, Alan Garner, M. R. James, Patrick Keiller, Nigel Kneale, David Peace, and Chris Petit.","container-title":"Film Quarterly","DOI":"10.1525/fq.2012.66.1.16","ISSN":"0015-1386, 1533-8630","issue":"1","language":"en","page":"16-24","source":"DOI.org (Crossref)","title":"What Is Hauntology?","URL":"https://online.ucpress.edu/fq/article/66/1/16/29155/What-Is-Hauntology","volume":"66","author":[{"family":"Fisher","given":"Mark"}],"accessed":{"date-parts":[["2023",3,29]]},"issued":{"date-parts":[["2012",9,1]]}},"locator":"16","label":"page","suffix":", tradução minha"}],"schema":"https://github.com/citation-style-language/schema/raw/master/csl-citation.json"}</w:instrText>
      </w:r>
      <w:r>
        <w:rPr>
          <w:lang w:val="pt-BR"/>
        </w:rPr>
      </w:r>
      <w:r>
        <w:rPr>
          <w:lang w:val="pt-BR"/>
        </w:rPr>
        <w:fldChar w:fldCharType="separate"/>
      </w:r>
      <w:r>
        <w:rPr>
          <w:lang w:val="pt-BR"/>
        </w:rPr>
      </w:r>
      <w:r>
        <w:rPr>
          <w:rFonts w:cs="Calibri" w:ascii="Calibri" w:hAnsi="Calibri"/>
          <w:szCs w:val="24"/>
          <w:lang w:val="pt-BR"/>
        </w:rPr>
        <w:t>(Fisher, 2012, p. 16, tradução minha)</w:t>
      </w:r>
      <w:r>
        <w:rPr>
          <w:lang w:val="pt-BR"/>
        </w:rPr>
      </w:r>
      <w:r>
        <w:rPr>
          <w:lang w:val="pt-BR"/>
        </w:rPr>
        <w:fldChar w:fldCharType="end"/>
      </w:r>
      <w:r>
        <w:rPr>
          <w:lang w:val="pt-BR"/>
        </w:rPr>
        <w:t xml:space="preserve">, então vivemos em uma perpétua nostalgia, não psicológica, mas uma nostalgia proposta por Jameson </w:t>
      </w:r>
      <w:r>
        <w:fldChar w:fldCharType="begin"/>
      </w:r>
      <w:r>
        <w:rPr>
          <w:lang w:val="pt-BR"/>
        </w:rPr>
        <w:instrText xml:space="preserve">ADDIN ZOTERO_ITEM CSL_CITATION {"citationID":"IcNipZYQ","properties":{"formattedCitation":"(1991)","plainCitation":"(1991)","noteIndex":0},"citationItems":[{"id":2815,"uris":["http://zotero.org/users/7863797/items/55Z5R669"],"itemData":{"id":2815,"type":"book","abstract":"In his most wide-ranging and accessible work, Frederic Jameson argues that postmodernism is the cultural response to the latest systemic change in world capitalism. He seeks here to crystallize a definition of a term which has taken on so many meanings that it has virtually lost all historical significance. He presents an extensive discussion on the cultural landscape - both ‘high' and ‘low' - of postmodernity, evaluating the political fortunes of the new term and surveying postmodern developments in a range of different fields - from market ideology to architecture, from painting and instalment art to contemporary punk film, from video art and high literature to deconstruction. Finally, Jameson revaluates the concept of postmodernism in light of postmodern critiques of totalization and historical narratives - from the notion of decadence to the dynamics of small groups, from religious fundamentalism to hi-tech science fiction - while touching on the nature of contemporary cultural critique and the possibilities of cognitive mapping in the present multinational world system. This provocative book will be fundamental to all future discussions of postmodernism.","ISBN":"978-0-8223-1090-7","language":"en","note":"Google-Books-ID: oRJ9fh9BK8wC","number-of-pages":"474","publisher":"Duke University Press","source":"Google Books","title":"Postmodernism, Or, The Cultural Logic of Late Capitalism","author":[{"family":"Jameson","given":"Fredric"}],"issued":{"date-parts":[["1991"]]}},"label":"page","suppress-author":true}],"schema":"https://github.com/citation-style-language/schema/raw/master/csl-citation.json"}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(1991)</w:t>
      </w:r>
      <w:r>
        <w:rPr>
          <w:lang w:val="pt-BR"/>
        </w:rPr>
      </w:r>
      <w:r>
        <w:rPr>
          <w:lang w:val="pt-BR"/>
        </w:rPr>
        <w:fldChar w:fldCharType="end"/>
      </w:r>
      <w:r>
        <w:rPr>
          <w:lang w:val="pt-BR"/>
        </w:rPr>
        <w:t xml:space="preserve"> na qual ainda nos apegamos “às técnicas e fórmulas do passado, uma consequência do recuo do desafio modernista de inovar normas culturais adequadas à experiência contemporânea” </w:t>
      </w:r>
      <w:r>
        <w:fldChar w:fldCharType="begin"/>
      </w:r>
      <w:r>
        <w:rPr>
          <w:lang w:val="pt-BR"/>
        </w:rPr>
        <w:instrText xml:space="preserve">ADDIN ZOTERO_ITEM CSL_CITATION {"citationID":"snlLJ0yo","properties":{"formattedCitation":"(Fisher, 2013, p. 46, tradu\\uc0\\u231{}\\uc0\\u227{}o minha)","plainCitation":"(Fisher, 2013, p. 46, tradução minha)","noteIndex":0},"citationItems":[{"id":2761,"uris":["http://zotero.org/users/7863797/items/38VTUISY"],"itemData":{"id":2761,"type":"article-journal","abstract":"There has always been an intrinsically “hauntological” dimension to recorded music. But Derrida’s concept of hauntology has gained a new currency in the 21st century, when music has lost its sense of futurism, and succumbed to the pastiche- and retrotime of postmodernity. The emergence of a 21st century sonic hauntology is a sign that “white” culture can no longer escape the temporal disjunctions that have been constitutive of the Afrodiasporic experience since Africans were first abducted by slavers and projected from their own lifeworld into the abstract space-time of Capital. Time was always-already out of joint for the slave, and Afrofuturism and hauntology can now be heard as two versions of the same condition.","container-title":"Dancecult","DOI":"10.12801/1947-5403.2013.05.02.03","ISSN":"19475403","issue":"2","journalAbbreviation":"DC","language":"en","page":"42-55","source":"DOI.org (Crossref)","title":"The Metaphysics of Crackle: Afrofuturism and Hauntology","title-short":"The Metaphysics of Crackle","URL":"https://dj.dancecult.net/index.php/dancecult/article/view/378/391","volume":"5","author":[{"family":"Fisher","given":"Mark"}],"accessed":{"date-parts":[["2023",3,29]]},"issued":{"date-parts":[["2013"]]}},"locator":"46","label":"page","suffix":", tradução minha"}],"schema":"https://github.com/citation-style-language/schema/raw/master/csl-citation.json"}</w:instrText>
      </w:r>
      <w:r>
        <w:rPr>
          <w:lang w:val="pt-BR"/>
        </w:rPr>
      </w:r>
      <w:r>
        <w:rPr>
          <w:lang w:val="pt-BR"/>
        </w:rPr>
        <w:fldChar w:fldCharType="separate"/>
      </w:r>
      <w:r>
        <w:rPr>
          <w:lang w:val="pt-BR"/>
        </w:rPr>
      </w:r>
      <w:r>
        <w:rPr>
          <w:rFonts w:cs="Calibri" w:ascii="Calibri" w:hAnsi="Calibri"/>
          <w:szCs w:val="24"/>
          <w:lang w:val="pt-BR"/>
        </w:rPr>
        <w:t>(Fisher, 2013, p. 46, tradução minha)</w:t>
      </w:r>
      <w:r>
        <w:rPr>
          <w:lang w:val="pt-BR"/>
        </w:rPr>
      </w:r>
      <w:r>
        <w:rPr>
          <w:lang w:val="pt-BR"/>
        </w:rPr>
        <w:fldChar w:fldCharType="end"/>
      </w:r>
      <w:r>
        <w:rPr>
          <w:lang w:val="pt-BR"/>
        </w:rPr>
        <w:t>.</w:t>
      </w:r>
    </w:p>
    <w:p>
      <w:pPr>
        <w:pStyle w:val="Normal"/>
        <w:rPr>
          <w:lang w:val="pt-BR"/>
        </w:rPr>
      </w:pPr>
      <w:r>
        <w:rPr>
          <w:lang w:val="pt-BR"/>
        </w:rPr>
      </w:r>
    </w:p>
    <w:p>
      <w:pPr>
        <w:pStyle w:val="Normal"/>
        <w:rPr>
          <w:lang w:val="pt-BR"/>
        </w:rPr>
      </w:pPr>
      <w:r>
        <w:rPr>
          <w:lang w:val="pt-BR"/>
        </w:rPr>
        <w:t>Para explicar esse fenômeno, Mark Fisher se utiliza do conceito de “</w:t>
      </w:r>
      <w:r>
        <w:rPr>
          <w:i/>
          <w:iCs/>
          <w:lang w:val="pt-BR"/>
        </w:rPr>
        <w:t>hauntology</w:t>
      </w:r>
      <w:r>
        <w:rPr>
          <w:lang w:val="pt-BR"/>
        </w:rPr>
        <w:t>” (“</w:t>
      </w:r>
      <w:r>
        <w:rPr>
          <w:i/>
          <w:iCs/>
          <w:lang w:val="pt-BR"/>
        </w:rPr>
        <w:t>hantologie</w:t>
      </w:r>
      <w:r>
        <w:rPr>
          <w:lang w:val="pt-BR"/>
        </w:rPr>
        <w:t>”), termo cunhado por Jacques Derrida, uma brincadeira com o termo ontologia, e que pode denominar duas dinâmicas diferentes: aquilo que não está mais presente, mas que ainda gera efeitos virtuais no presente; ou aquilo que ainda não veio a ser, mas que já gera efeitos virtuais no presente. Para nossa discussão, o primeiro significado é de maior interessa, uma vez que estamos analisando como os espectros do passado que, mesmo não mais existindo materialmente, continuam a nos afetar virtualmente, aprisionando-nos em ciclos de repetições compulsórias que nos impedem sequer de imaginar algo novo, algo diferente do que já foi.</w:t>
      </w:r>
    </w:p>
    <w:p>
      <w:pPr>
        <w:pStyle w:val="Normal"/>
        <w:rPr>
          <w:lang w:val="pt-BR"/>
        </w:rPr>
      </w:pPr>
      <w:r>
        <w:rPr>
          <w:lang w:val="pt-BR"/>
        </w:rPr>
      </w:r>
    </w:p>
    <w:p>
      <w:pPr>
        <w:pStyle w:val="Normal"/>
        <w:rPr>
          <w:lang w:val="pt-BR"/>
        </w:rPr>
      </w:pPr>
      <w:r>
        <w:rPr>
          <w:lang w:val="pt-BR"/>
        </w:rPr>
        <w:t xml:space="preserve">Acredito que, hoje, não seja necessárias grandes argumentações para defender a ideia de que, culturalmente – em especial na cultura pop –, vivemos um momento muito mais marcado pela recriação do que pela criação. A febre das refilmagens em Hollywood e dos </w:t>
      </w:r>
      <w:r>
        <w:rPr>
          <w:i/>
          <w:iCs/>
          <w:lang w:val="pt-BR"/>
        </w:rPr>
        <w:t>remakes</w:t>
      </w:r>
      <w:r>
        <w:rPr>
          <w:lang w:val="pt-BR"/>
        </w:rPr>
        <w:t xml:space="preserve"> na indústria dos videogames é cada vez mais invasiva e preenche os espaços do que poderiam ser novas criações: salas de cinema dão espaços para filmes de franquias consolidadas no lugar de qualquer coisa minimamente inédita, e desenvolvedores de jogos são alocados em recriações em alta resolução no lugar de suas próprias criações. Essa escassez do novo talvez ajude a explicar o sucesso fenomenal quando obras quebram essa lógica, como é o caso da franquia </w:t>
      </w:r>
      <w:r>
        <w:rPr>
          <w:i/>
          <w:iCs/>
          <w:lang w:val="pt-BR"/>
        </w:rPr>
        <w:t>John Wick</w:t>
      </w:r>
      <w:r>
        <w:rPr>
          <w:lang w:val="pt-BR"/>
        </w:rPr>
        <w:t xml:space="preserve"> e o jogo </w:t>
      </w:r>
      <w:r>
        <w:rPr>
          <w:i/>
          <w:iCs/>
          <w:lang w:val="pt-BR"/>
        </w:rPr>
        <w:t>Elden Ring</w:t>
      </w:r>
      <w:r>
        <w:rPr>
          <w:lang w:val="pt-BR"/>
        </w:rPr>
        <w:t>, para dar dois exemplos bem conhecidos em suas respectivas indústrias.</w:t>
      </w:r>
    </w:p>
    <w:p>
      <w:pPr>
        <w:pStyle w:val="Normal"/>
        <w:rPr>
          <w:lang w:val="pt-BR"/>
        </w:rPr>
      </w:pPr>
      <w:r>
        <w:rPr>
          <w:lang w:val="pt-BR"/>
        </w:rPr>
      </w:r>
    </w:p>
    <w:p>
      <w:pPr>
        <w:pStyle w:val="Normal"/>
        <w:rPr>
          <w:lang w:val="pt-BR"/>
        </w:rPr>
      </w:pPr>
      <w:r>
        <w:rPr>
          <w:lang w:val="pt-BR"/>
        </w:rPr>
        <w:t xml:space="preserve">O argumento de Fisher é que tal dinâmica se dá pela dominação do medo e do cinismo dentro do capitalismo tardio, uma vez que “essas emoções não inspiram empreendimento ousados ou saltos criativos”, mas “ao contrário, conformidade e o culto à variação mínima” </w:t>
      </w:r>
      <w:r>
        <w:fldChar w:fldCharType="begin"/>
      </w:r>
      <w:r>
        <w:rPr>
          <w:lang w:val="pt-BR"/>
        </w:rPr>
        <w:instrText xml:space="preserve">ADDIN ZOTERO_ITEM CSL_CITATION {"citationID":"NP676iis","properties":{"formattedCitation":"(Fisher, 2020, p. 128)","plainCitation":"(Fisher, 2020, p. 128)","noteIndex":0},"citationItems":[{"id":581,"uris":["http://zotero.org/users/7863797/items/89ARM8MK"],"itemData":{"id":581,"type":"book","edition":"1","event-place":"São Paulo","number-of-pages":"218","publisher":"Autonomia Literária","publisher-place":"São Paulo","title":"Realismo Capitalista: é mais fácil imaginar o fim do mundo do que o fim do capitalismo?","author":[{"family":"Fisher","given":"Mark"}],"issued":{"date-parts":[["2020"]]}},"locator":"128","label":"page"}],"schema":"https://github.com/citation-style-language/schema/raw/master/csl-citation.json"}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(Fisher, 2020, p. 128)</w:t>
      </w:r>
      <w:r>
        <w:rPr>
          <w:lang w:val="pt-BR"/>
        </w:rPr>
      </w:r>
      <w:r>
        <w:rPr>
          <w:lang w:val="pt-BR"/>
        </w:rPr>
        <w:fldChar w:fldCharType="end"/>
      </w:r>
      <w:r>
        <w:rPr>
          <w:lang w:val="pt-BR"/>
        </w:rPr>
        <w:t>. Como, então, essa tendência conformista e aversa a qualquer tipo de mudança, conversa com a ideia de alterações de obras do passado?</w:t>
      </w:r>
    </w:p>
    <w:p>
      <w:pPr>
        <w:pStyle w:val="Normal"/>
        <w:rPr>
          <w:lang w:val="pt-BR"/>
        </w:rPr>
      </w:pPr>
      <w:r>
        <w:rPr>
          <w:lang w:val="pt-BR"/>
        </w:rPr>
      </w:r>
    </w:p>
    <w:p>
      <w:pPr>
        <w:pStyle w:val="Normal"/>
        <w:rPr>
          <w:lang w:val="pt-BR"/>
        </w:rPr>
      </w:pPr>
      <w:r>
        <w:rPr>
          <w:lang w:val="pt-BR"/>
        </w:rPr>
        <w:t xml:space="preserve">Fisher (2020) ressalta como a cultura atual se caracteriza pela submissão do conceito “paterno” do dever – atenção às aspas – pelo imperativo “material” do gozo. Assim, como uma </w:t>
      </w:r>
      <w:r>
        <w:rPr>
          <w:i/>
          <w:iCs/>
          <w:lang w:val="pt-BR"/>
        </w:rPr>
        <w:t>Supernanny</w:t>
      </w:r>
      <w:r>
        <w:rPr>
          <w:lang w:val="pt-BR"/>
        </w:rPr>
        <w:t xml:space="preserve"> que vê nas crianças a incapacidade de reconhecer seus próprios interesses ou a causa de seus afetos, a cultura transforma audiência em públicos e passa a oferecer a tal público “aquilo que ele (aparentemente) quer” </w:t>
      </w:r>
      <w:r>
        <w:fldChar w:fldCharType="begin"/>
      </w:r>
      <w:r>
        <w:rPr>
          <w:lang w:val="pt-BR"/>
        </w:rPr>
        <w:instrText xml:space="preserve">ADDIN ZOTERO_ITEM CSL_CITATION {"citationID":"ycKqyOWU","properties":{"formattedCitation":"(Fisher, 2020, p. 122)","plainCitation":"(Fisher, 2020, p. 122)","noteIndex":0},"citationItems":[{"id":581,"uris":["http://zotero.org/users/7863797/items/89ARM8MK"],"itemData":{"id":581,"type":"book","edition":"1","event-place":"São Paulo","number-of-pages":"218","publisher":"Autonomia Literária","publisher-place":"São Paulo","title":"Realismo Capitalista: é mais fácil imaginar o fim do mundo do que o fim do capitalismo?","author":[{"family":"Fisher","given":"Mark"}],"issued":{"date-parts":[["2020"]]}},"locator":"122","label":"page"}],"schema":"https://github.com/citation-style-language/schema/raw/master/csl-citation.json"}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(Fisher, 2020, p. 122)</w:t>
      </w:r>
      <w:r>
        <w:rPr>
          <w:lang w:val="pt-BR"/>
        </w:rPr>
      </w:r>
      <w:r>
        <w:rPr>
          <w:lang w:val="pt-BR"/>
        </w:rPr>
        <w:fldChar w:fldCharType="end"/>
      </w:r>
      <w:r>
        <w:rPr>
          <w:lang w:val="pt-BR"/>
        </w:rPr>
        <w:t>. E o que o público quer? O mesmo, mas com suas controvérsias e problemáticas jogadas para debaixo do tapete. Afinal, estamos consumindo cultura para nosso entretenimento mórbido, conscientes de nosso estado catatônico em relação a um mundo que se desmancha a nossas frente, mas impossibilitados de reagir. O que Fisher chama de impotência reflexiva.</w:t>
      </w:r>
    </w:p>
    <w:p>
      <w:pPr>
        <w:pStyle w:val="Normal"/>
        <w:rPr>
          <w:lang w:val="pt-BR"/>
        </w:rPr>
      </w:pPr>
      <w:r>
        <w:rPr>
          <w:lang w:val="pt-BR"/>
        </w:rPr>
      </w:r>
    </w:p>
    <w:p>
      <w:pPr>
        <w:pStyle w:val="Normal"/>
        <w:rPr>
          <w:lang w:val="pt-BR"/>
        </w:rPr>
      </w:pPr>
      <w:r>
        <w:rPr>
          <w:lang w:val="pt-BR"/>
        </w:rPr>
        <w:t>Talvez nenhum personagem reflita melhor essa impotência do que o Guerreiro Caído (</w:t>
      </w:r>
      <w:r>
        <w:rPr>
          <w:i/>
          <w:iCs/>
          <w:lang w:val="pt-BR"/>
        </w:rPr>
        <w:t>Crestfallen Warrior</w:t>
      </w:r>
      <w:r>
        <w:rPr>
          <w:lang w:val="pt-BR"/>
        </w:rPr>
        <w:t xml:space="preserve">) no jogo </w:t>
      </w:r>
      <w:r>
        <w:rPr>
          <w:i/>
          <w:iCs/>
          <w:lang w:val="pt-BR"/>
        </w:rPr>
        <w:t>Dark Souls</w:t>
      </w:r>
      <w:r>
        <w:rPr>
          <w:lang w:val="pt-BR"/>
        </w:rPr>
        <w:t xml:space="preserve">, lançado em 2011 e dirigido por Hidetaka Miyazaki – e, ironicamente, remasterizado em 2018. Para contextualizar: o mundo de </w:t>
      </w:r>
      <w:r>
        <w:rPr>
          <w:i/>
          <w:iCs/>
          <w:lang w:val="pt-BR"/>
        </w:rPr>
        <w:t>Dark Souls</w:t>
      </w:r>
      <w:r>
        <w:rPr>
          <w:lang w:val="pt-BR"/>
        </w:rPr>
        <w:t xml:space="preserve"> se encontra num espaço liminar entre duas eras: a Era do Fogo, onde poderosos deuses reinavam sobre a humanidade que os adoravam e que está ficando para trás a medida em que a chama dessa era se apaga; e a Era da Escuridão que se aproxima, levando o principal deus da Era do Fogo, Gwyn, Senhor do Sol, a sacrifica sua própria alma para manter a chama acesa. A tentativa, porém, falha, e o mundo passa a ser afligido pela “desmorte” (</w:t>
      </w:r>
      <w:r>
        <w:rPr>
          <w:i/>
          <w:iCs/>
          <w:lang w:val="pt-BR"/>
        </w:rPr>
        <w:t>undeath</w:t>
      </w:r>
      <w:r>
        <w:rPr>
          <w:lang w:val="pt-BR"/>
        </w:rPr>
        <w:t>) e Gwyn se torna o Senhor das Cinzas.</w:t>
      </w:r>
    </w:p>
    <w:p>
      <w:pPr>
        <w:pStyle w:val="Normal"/>
        <w:rPr>
          <w:lang w:val="pt-BR"/>
        </w:rPr>
      </w:pPr>
      <w:r>
        <w:rPr>
          <w:lang w:val="pt-BR"/>
        </w:rPr>
      </w:r>
    </w:p>
    <w:p>
      <w:pPr>
        <w:pStyle w:val="Normal"/>
        <w:rPr>
          <w:lang w:val="pt-BR"/>
        </w:rPr>
      </w:pPr>
      <w:r>
        <w:rPr>
          <w:lang w:val="pt-BR"/>
        </w:rPr>
        <w:t>Apesar de ser costumeiramente traduzido para “mortos-vivos”, a desmorte apresenta um conceito mais interessante do que simplesmente algo entre a vida e a morte. O estado desmorto remete à impossibilidade de morrer: uma existência que já deveria ter partido, e não tem mais lugar no mundo, mas que se recusa ou é recusada à morte. Em</w:t>
      </w:r>
      <w:r>
        <w:rPr>
          <w:i/>
          <w:iCs/>
          <w:lang w:val="pt-BR"/>
        </w:rPr>
        <w:t xml:space="preserve"> Dark Souls</w:t>
      </w:r>
      <w:r>
        <w:rPr>
          <w:lang w:val="pt-BR"/>
        </w:rPr>
        <w:t>, aqueles que perderem seu propósito de existirem se tornam ocos (</w:t>
      </w:r>
      <w:r>
        <w:rPr>
          <w:i/>
          <w:iCs/>
          <w:lang w:val="pt-BR"/>
        </w:rPr>
        <w:t>hollow</w:t>
      </w:r>
      <w:r>
        <w:rPr>
          <w:lang w:val="pt-BR"/>
        </w:rPr>
        <w:t>), perdendo sua humanidade e destinados a vagar eternamente e desprovidos de consciência. Não mais vivos, mas sem poder morrer de verdade.</w:t>
      </w:r>
    </w:p>
    <w:p>
      <w:pPr>
        <w:pStyle w:val="Normal"/>
        <w:rPr>
          <w:lang w:val="pt-BR"/>
        </w:rPr>
      </w:pPr>
      <w:r>
        <w:rPr>
          <w:lang w:val="pt-BR"/>
        </w:rPr>
      </w:r>
    </w:p>
    <w:p>
      <w:pPr>
        <w:pStyle w:val="Normal"/>
        <w:rPr>
          <w:lang w:val="pt-BR"/>
        </w:rPr>
      </w:pPr>
      <w:r>
        <w:rPr>
          <w:lang w:val="pt-BR"/>
        </w:rPr>
        <w:t>O jogador encontra o Guerreiro Caído numa das áreas iniciais do jogo, após a área introdutória, num espaço seguro e livre de inimigos. O Guerreiro serve como guia para o jogador, explicando algumas mecânicas. Mas tudo o que ele diz é em tom melancólico, tirando sarro daqueles que ousaram tentar seguir em frente e cumprir sua missão ou seus objetivos. Totalmente desprovido de esperança, completamente desolado pela precariedade da sua situação e consciente de que a culpa do estado do mundo foge à sua responsabilidade e controle, o Guerreiro se mantém sentado durante todo o jogo, cabisbaixo e cínico, incapacitado de tomar qualquer atitude. Se o jogador decidir lutar contra ele e o matar, suas palavras finais são: “Heheh, nada mal... Acho que você me fez um favor”.</w:t>
      </w:r>
    </w:p>
    <w:p>
      <w:pPr>
        <w:pStyle w:val="Normal"/>
        <w:rPr>
          <w:lang w:val="pt-BR"/>
        </w:rPr>
      </w:pPr>
      <w:r>
        <w:rPr>
          <w:lang w:val="pt-BR"/>
        </w:rPr>
      </w:r>
    </w:p>
    <w:p>
      <w:pPr>
        <w:pStyle w:val="Normal"/>
        <w:rPr>
          <w:lang w:val="pt-BR"/>
        </w:rPr>
      </w:pPr>
      <w:r>
        <w:rPr>
          <w:lang w:val="pt-BR"/>
        </w:rPr>
        <w:t>Na modernidade tardia, nossa sociedade é composta (principalmente) por desmortos, por Cavaleiros Caídos. Vivemos dias de marmota sem reclamar, incapacitados de reagir, e anestesiados pela nostalgia de uma modernidade que um dia ofereceu sonhos, futuros e imaginários. Obras adaptadas nos trazem esse conforto nostálgico do passado que ainda nos assombra, mas com uma camada superficial de novidade que busca cinicamente se adaptar à sensibilidade do público consumidor contemporâneo. Ao mesmo tempo, reconstruímos esse passado à imagem do novo, recalcando todos os seus problemas e dilemas sem nunca os trabalhar com a devida profundidade.</w:t>
      </w:r>
    </w:p>
    <w:p>
      <w:pPr>
        <w:pStyle w:val="Normal"/>
        <w:rPr>
          <w:lang w:val="pt-BR"/>
        </w:rPr>
      </w:pPr>
      <w:r>
        <w:rPr>
          <w:lang w:val="pt-BR"/>
        </w:rPr>
      </w:r>
    </w:p>
    <w:p>
      <w:pPr>
        <w:pStyle w:val="Normal"/>
        <w:rPr>
          <w:lang w:val="pt-BR"/>
        </w:rPr>
      </w:pPr>
      <w:r>
        <w:rPr>
          <w:lang w:val="pt-BR"/>
        </w:rPr>
        <w:t xml:space="preserve">Esse estado de desmorte e incapacidade de imaginar o futuro me remete à cena final do filme </w:t>
      </w:r>
      <w:r>
        <w:rPr>
          <w:i/>
          <w:iCs/>
          <w:lang w:val="pt-BR"/>
        </w:rPr>
        <w:t>A Classe Operária Vai ao Paraíso</w:t>
      </w:r>
      <w:r>
        <w:rPr>
          <w:lang w:val="pt-BR"/>
        </w:rPr>
        <w:t xml:space="preserve"> (1971) de Elio Petri: Lulu, o personagem central do filme, conta sobre seu sonho aos gritos para seus colegas enquanto todos trabalham na nova linha de produção. Nesse sonho, ele encontra um muro, e descobre que do outro lado está no paraíso. Ao quebrar o muro, porém, não encontra nada além de pó e névoa, junto de seus colegas. É melancólico imaginar esse sonho como uma representação da alienação e da incapacidade de imaginar um paraíso, especialmente se pensarmos quão datada ela é. Se, na modernidade, o herói trágico Lulu é capaz de derrubar o muro, mas não encontra nada do outro lado, a tragédia da modernidade tardia é saber precisamente que não há nada do outro lado e, portanto, não conseguir decidir derrubar o muro, mantendo-se em um estado letárgico de incapacidade de tomar qualquer atitude. Como fugir desse destino de desmorte que nos assombra?</w:t>
      </w:r>
    </w:p>
    <w:p>
      <w:pPr>
        <w:pStyle w:val="Normal"/>
        <w:rPr>
          <w:lang w:val="pt-BR"/>
        </w:rPr>
      </w:pPr>
      <w:r>
        <w:rPr>
          <w:lang w:val="pt-BR"/>
        </w:rPr>
      </w:r>
    </w:p>
    <w:p>
      <w:pPr>
        <w:pStyle w:val="Normal"/>
        <w:rPr>
          <w:lang w:val="pt-BR"/>
        </w:rPr>
      </w:pPr>
      <w:r>
        <w:rPr>
          <w:lang w:val="pt-BR"/>
        </w:rPr>
        <w:t xml:space="preserve">Talvez esteja no próprio </w:t>
      </w:r>
      <w:r>
        <w:rPr>
          <w:i/>
          <w:iCs/>
          <w:lang w:val="pt-BR"/>
        </w:rPr>
        <w:t>Dark Souls</w:t>
      </w:r>
      <w:r>
        <w:rPr>
          <w:lang w:val="pt-BR"/>
        </w:rPr>
        <w:t xml:space="preserve"> a resposta que procuramos, mas não em seu final padrão, e, sim, em seu final oculto. A rota padrão do jogo leva o jogador a crer que seu personagem agora é a última esperança de salvar o mundo da Era das Trevas e, para tanto, deve adquirir forças suficientes para reascender a chama da Era do Fogo, realizando o desejo de Gwyn. Mas a rota alternativa nos mostra que isso não passa de propaganda ideológica, de que a Era das Trevas é, em verdade, a Era da Humanidade, que ascende no lugar dos deuses que a oprime. Seguindo o novo roteiro, descobrimos que a narrativa que nos foi vendida não passava de um plano criado pelos deuses para que sua era se perpetuasse infinitamente: toda vez que a chama estivesse apagando, um novo herói seria convocado. É do interesse desses deuses manter sua posição soberana, ainda que sejam deuses de um mundo de cinzas, tomado pela desmorte e impedindo o nascimento de uma nova era.</w:t>
      </w:r>
    </w:p>
    <w:p>
      <w:pPr>
        <w:pStyle w:val="Normal"/>
        <w:rPr>
          <w:lang w:val="pt-BR"/>
        </w:rPr>
      </w:pPr>
      <w:r>
        <w:rPr>
          <w:lang w:val="pt-BR"/>
        </w:rPr>
      </w:r>
    </w:p>
    <w:p>
      <w:pPr>
        <w:pStyle w:val="Normal"/>
        <w:rPr>
          <w:lang w:val="pt-BR"/>
        </w:rPr>
      </w:pPr>
      <w:r>
        <w:rPr>
          <w:lang w:val="pt-BR"/>
        </w:rPr>
        <w:t xml:space="preserve">Para realizar esse final oculto, o jogador deve desacreditar no que lhe foi dito. Quebrar as ilusões que constroem tal narrativa, e realizar um “pulo de fé” para o desconhecido, o novo, o obscuro. E talvez seja essa a maior lição do jogo, especialmente para o mundo em que atualmente vivemos: todos sabemos que as coisas estão ruins, mas se não fizermos nada, elas continuarão apenas piorando. Mesmo não sabendo o caminho a frente, é preciso ousar questionar, ousar imaginar, ousar desejar um mundo novo e diferente. </w:t>
      </w:r>
    </w:p>
    <w:p>
      <w:pPr>
        <w:pStyle w:val="Normal"/>
        <w:rPr>
          <w:lang w:val="pt-BR"/>
        </w:rPr>
      </w:pPr>
      <w:r>
        <w:rPr>
          <w:lang w:val="pt-BR"/>
        </w:rPr>
      </w:r>
    </w:p>
    <w:p>
      <w:pPr>
        <w:pStyle w:val="Normal"/>
        <w:rPr>
          <w:lang w:val="pt-BR"/>
        </w:rPr>
      </w:pPr>
      <w:r>
        <w:rPr>
          <w:lang w:val="pt-BR"/>
        </w:rPr>
        <w:t>Mark Fisher defende que no capitalismo tardio “é mais fácil imaginar o fim do mundo do que o fim do capitalismo”, e tanto o “fim da história” como profetizou Fukuyama quanto o fracasso do futuro de Jameson também parecem cada vez mais presentes e concretos em nosso dia a dia. Nesse contexto, podemos não saber o que queremos, o que nos espera do outro lado do muro, mas se quisermos mudar o estado do mundo, devemos ousar imaginar, para então começar a agir. As forças atualmente em poder já têm sua posição e, assim como Gwyn, preferem reinar sobre as cinzas do que deixar de reinar. Iremos sacrificar nossos corpos para perpetuar a chama desse reinado, ou dar o salto de fé para uma nova era, seja ela qual for?</w:t>
      </w:r>
    </w:p>
    <w:p>
      <w:pPr>
        <w:pStyle w:val="Normal"/>
        <w:rPr>
          <w:lang w:val="pt-BR"/>
        </w:rPr>
      </w:pPr>
      <w:r>
        <w:rPr>
          <w:lang w:val="pt-BR"/>
        </w:rPr>
      </w:r>
    </w:p>
    <w:p>
      <w:pPr>
        <w:pStyle w:val="Normal"/>
        <w:rPr>
          <w:b/>
          <w:bCs/>
        </w:rPr>
      </w:pPr>
      <w:r>
        <w:rPr>
          <w:b/>
          <w:bCs/>
        </w:rPr>
        <w:t>Referências</w:t>
      </w:r>
    </w:p>
    <w:p>
      <w:pPr>
        <w:pStyle w:val="Bibliography"/>
        <w:rPr>
          <w:rFonts w:ascii="Calibri" w:hAnsi="Calibri" w:cs="Calibri"/>
        </w:rPr>
      </w:pPr>
      <w:r>
        <w:fldChar w:fldCharType="begin"/>
      </w:r>
      <w:r>
        <w:rPr>
          <w:b/>
          <w:bCs/>
          <w:lang w:val="pt-BR"/>
        </w:rPr>
        <w:instrText xml:space="preserve">ADDIN ZOTERO_BIBL {"uncited":[],"omitted":[],"custom":[]} CSL_BIBLIOGRAPHY</w:instrText>
      </w:r>
      <w:r>
        <w:rPr>
          <w:b/>
          <w:bCs/>
          <w:lang w:val="pt-BR"/>
        </w:rPr>
      </w:r>
      <w:r>
        <w:rPr>
          <w:b/>
          <w:bCs/>
          <w:lang w:val="pt-BR"/>
        </w:rPr>
        <w:fldChar w:fldCharType="separate"/>
      </w:r>
      <w:r>
        <w:rPr>
          <w:b/>
          <w:bCs/>
          <w:lang w:val="pt-BR"/>
        </w:rPr>
      </w:r>
      <w:r>
        <w:rPr>
          <w:rFonts w:cs="Calibri" w:ascii="Calibri" w:hAnsi="Calibri"/>
        </w:rPr>
        <w:t xml:space="preserve">Fisher, M. (2012). What Is Hauntology? </w:t>
      </w:r>
      <w:r>
        <w:rPr>
          <w:rFonts w:cs="Calibri" w:ascii="Calibri" w:hAnsi="Calibri"/>
          <w:i/>
          <w:iCs/>
        </w:rPr>
        <w:t>Film Quarterly</w:t>
      </w:r>
      <w:r>
        <w:rPr>
          <w:rFonts w:cs="Calibri" w:ascii="Calibri" w:hAnsi="Calibri"/>
        </w:rPr>
        <w:t xml:space="preserve">, </w:t>
      </w:r>
      <w:r>
        <w:rPr>
          <w:rFonts w:cs="Calibri" w:ascii="Calibri" w:hAnsi="Calibri"/>
          <w:i/>
          <w:iCs/>
        </w:rPr>
        <w:t>66</w:t>
      </w:r>
      <w:r>
        <w:rPr>
          <w:rFonts w:cs="Calibri" w:ascii="Calibri" w:hAnsi="Calibri"/>
        </w:rPr>
        <w:t>(1), 16–24. https://doi.org/10.1525/fq.2012.66.1.16</w:t>
      </w:r>
    </w:p>
    <w:p>
      <w:pPr>
        <w:pStyle w:val="Bibliography"/>
        <w:rPr>
          <w:rFonts w:ascii="Calibri" w:hAnsi="Calibri" w:cs="Calibri"/>
          <w:lang w:val="pt-BR"/>
        </w:rPr>
      </w:pPr>
      <w:r>
        <w:rPr>
          <w:rFonts w:cs="Calibri" w:ascii="Calibri" w:hAnsi="Calibri"/>
        </w:rPr>
        <w:t xml:space="preserve">Fisher, M. (2013). The Metaphysics of Crackle: Afrofuturism and Hauntology. </w:t>
      </w:r>
      <w:r>
        <w:rPr>
          <w:rFonts w:cs="Calibri" w:ascii="Calibri" w:hAnsi="Calibri"/>
          <w:i/>
          <w:iCs/>
          <w:lang w:val="pt-BR"/>
        </w:rPr>
        <w:t>Dancecult</w:t>
      </w:r>
      <w:r>
        <w:rPr>
          <w:rFonts w:cs="Calibri" w:ascii="Calibri" w:hAnsi="Calibri"/>
          <w:lang w:val="pt-BR"/>
        </w:rPr>
        <w:t xml:space="preserve">, </w:t>
      </w:r>
      <w:r>
        <w:rPr>
          <w:rFonts w:cs="Calibri" w:ascii="Calibri" w:hAnsi="Calibri"/>
          <w:i/>
          <w:iCs/>
          <w:lang w:val="pt-BR"/>
        </w:rPr>
        <w:t>5</w:t>
      </w:r>
      <w:r>
        <w:rPr>
          <w:rFonts w:cs="Calibri" w:ascii="Calibri" w:hAnsi="Calibri"/>
          <w:lang w:val="pt-BR"/>
        </w:rPr>
        <w:t>(2), 42–55. https://doi.org/10.12801/1947-5403.2013.05.02.03</w:t>
      </w:r>
    </w:p>
    <w:p>
      <w:pPr>
        <w:pStyle w:val="Bibliography"/>
        <w:rPr>
          <w:rFonts w:ascii="Calibri" w:hAnsi="Calibri" w:cs="Calibri"/>
        </w:rPr>
      </w:pPr>
      <w:r>
        <w:rPr>
          <w:rFonts w:cs="Calibri" w:ascii="Calibri" w:hAnsi="Calibri"/>
          <w:lang w:val="pt-BR"/>
        </w:rPr>
        <w:t xml:space="preserve">Fisher, M. (2020). </w:t>
      </w:r>
      <w:r>
        <w:rPr>
          <w:rFonts w:cs="Calibri" w:ascii="Calibri" w:hAnsi="Calibri"/>
          <w:i/>
          <w:iCs/>
          <w:lang w:val="pt-BR"/>
        </w:rPr>
        <w:t>Realismo Capitalista: É mais fácil imaginar o fim do mundo do que o fim do capitalismo?</w:t>
      </w:r>
      <w:r>
        <w:rPr>
          <w:rFonts w:cs="Calibri" w:ascii="Calibri" w:hAnsi="Calibri"/>
          <w:lang w:val="pt-BR"/>
        </w:rPr>
        <w:t xml:space="preserve"> </w:t>
      </w:r>
      <w:r>
        <w:rPr>
          <w:rFonts w:cs="Calibri" w:ascii="Calibri" w:hAnsi="Calibri"/>
        </w:rPr>
        <w:t>(1</w:t>
      </w:r>
      <w:r>
        <w:rPr>
          <w:rFonts w:cs="Calibri" w:ascii="Calibri" w:hAnsi="Calibri"/>
          <w:vertAlign w:val="superscript"/>
        </w:rPr>
        <w:t>o</w:t>
      </w:r>
      <w:r>
        <w:rPr>
          <w:rFonts w:cs="Calibri" w:ascii="Calibri" w:hAnsi="Calibri"/>
        </w:rPr>
        <w:t xml:space="preserve"> ed). Autonomia Literária.</w:t>
      </w:r>
    </w:p>
    <w:p>
      <w:pPr>
        <w:pStyle w:val="Bibliography"/>
        <w:rPr>
          <w:rFonts w:ascii="Calibri" w:hAnsi="Calibri" w:cs="Calibri"/>
        </w:rPr>
      </w:pPr>
      <w:r>
        <w:rPr>
          <w:rFonts w:cs="Calibri" w:ascii="Calibri" w:hAnsi="Calibri"/>
        </w:rPr>
        <w:t xml:space="preserve">Jameson, F. (1991). </w:t>
      </w:r>
      <w:r>
        <w:rPr>
          <w:rFonts w:cs="Calibri" w:ascii="Calibri" w:hAnsi="Calibri"/>
          <w:i/>
          <w:iCs/>
        </w:rPr>
        <w:t>Postmodernism, Or, The Cultural Logic of Late Capitalism</w:t>
      </w:r>
      <w:r>
        <w:rPr>
          <w:rFonts w:cs="Calibri" w:ascii="Calibri" w:hAnsi="Calibri"/>
        </w:rPr>
        <w:t>. Duke University Press.</w:t>
      </w:r>
    </w:p>
    <w:p>
      <w:pPr>
        <w:pStyle w:val="Normal"/>
        <w:spacing w:before="0" w:after="160"/>
        <w:rPr>
          <w:b/>
          <w:bCs/>
          <w:lang w:val="pt-BR"/>
        </w:rPr>
      </w:pPr>
      <w:r/>
      <w:r>
        <w:rPr>
          <w:b/>
          <w:bCs/>
          <w:lang w:val="pt-BR"/>
        </w:rPr>
        <w:fldChar w:fldCharType="end"/>
      </w:r>
      <w:r>
        <w:rPr>
          <w:b/>
          <w:bCs/>
          <w:lang w:val="pt-B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imple-html-contents" w:customStyle="1">
    <w:name w:val="simple-html-contents"/>
    <w:basedOn w:val="DefaultParagraphFont"/>
    <w:qFormat/>
    <w:rsid w:val="000a005e"/>
    <w:rPr/>
  </w:style>
  <w:style w:type="character" w:styleId="Hyperlink">
    <w:name w:val="Hyperlink"/>
    <w:basedOn w:val="DefaultParagraphFont"/>
    <w:uiPriority w:val="99"/>
    <w:unhideWhenUsed/>
    <w:rsid w:val="000a005e"/>
    <w:rPr>
      <w:color w:val="0000FF"/>
      <w:u w:val="single"/>
    </w:rPr>
  </w:style>
  <w:style w:type="character" w:styleId="Strong">
    <w:name w:val="Strong"/>
    <w:basedOn w:val="DefaultParagraphFont"/>
    <w:uiPriority w:val="22"/>
    <w:qFormat/>
    <w:rsid w:val="000a005e"/>
    <w:rPr>
      <w:b/>
      <w:bCs/>
    </w:rPr>
  </w:style>
  <w:style w:type="character" w:styleId="Emphasis">
    <w:name w:val="Emphasis"/>
    <w:basedOn w:val="DefaultParagraphFont"/>
    <w:uiPriority w:val="20"/>
    <w:qFormat/>
    <w:rsid w:val="006019ae"/>
    <w:rPr>
      <w:i/>
      <w:iCs/>
    </w:rPr>
  </w:style>
  <w:style w:type="character" w:styleId="UnresolvedMention">
    <w:name w:val="Unresolved Mention"/>
    <w:basedOn w:val="DefaultParagraphFont"/>
    <w:uiPriority w:val="99"/>
    <w:semiHidden/>
    <w:unhideWhenUsed/>
    <w:qFormat/>
    <w:rsid w:val="006019ae"/>
    <w:rPr>
      <w:color w:val="605E5C"/>
      <w:shd w:fill="E1DFDD" w:val="clear"/>
    </w:rPr>
  </w:style>
  <w:style w:type="character" w:styleId="HeaderChar" w:customStyle="1">
    <w:name w:val="Header Char"/>
    <w:basedOn w:val="DefaultParagraphFont"/>
    <w:link w:val="Header"/>
    <w:uiPriority w:val="99"/>
    <w:qFormat/>
    <w:rsid w:val="00480d0b"/>
    <w:rPr/>
  </w:style>
  <w:style w:type="character" w:styleId="FooterChar" w:customStyle="1">
    <w:name w:val="Footer Char"/>
    <w:basedOn w:val="DefaultParagraphFont"/>
    <w:link w:val="Footer"/>
    <w:uiPriority w:val="99"/>
    <w:qFormat/>
    <w:rsid w:val="00480d0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ibliography">
    <w:name w:val="Bibliography"/>
    <w:basedOn w:val="Normal"/>
    <w:next w:val="Normal"/>
    <w:uiPriority w:val="37"/>
    <w:unhideWhenUsed/>
    <w:qFormat/>
    <w:rsid w:val="003b63ab"/>
    <w:pPr>
      <w:spacing w:lineRule="auto" w:line="480" w:before="0" w:after="0"/>
      <w:ind w:hanging="720" w:start="72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80d0b"/>
    <w:pPr>
      <w:tabs>
        <w:tab w:val="clear" w:pos="720"/>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480d0b"/>
    <w:pPr>
      <w:tabs>
        <w:tab w:val="clear" w:pos="720"/>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assombracoes-de-um-futuro-passado-e-a-impossibilidade-de-criar-o-novo/" TargetMode="External"/><Relationship Id="rId3" Type="http://schemas.openxmlformats.org/officeDocument/2006/relationships/hyperlink" Target="mailto:@linck_alexandre" TargetMode="External"/><Relationship Id="rId4" Type="http://schemas.openxmlformats.org/officeDocument/2006/relationships/hyperlink" Target="https://www.youtube.com/@QuadrinhosNaSarjeta" TargetMode="External"/><Relationship Id="rId5" Type="http://schemas.openxmlformats.org/officeDocument/2006/relationships/hyperlink" Target="https://www.youtube.com/watch?v=G68ocaCHbCA" TargetMode="External"/><Relationship Id="rId6" Type="http://schemas.openxmlformats.org/officeDocument/2006/relationships/hyperlink" Target="https://www.youtube.com/watch?v=G68ocaCHbCA"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TotalTime>
  <Application>LibreOffice/26.2.3.2$Linux_X86_64 LibreOffice_project/7d74455cffae7a589951233f185ae0303c082020</Application>
  <AppVersion>15.0000</AppVersion>
  <Pages>6</Pages>
  <Words>2033</Words>
  <Characters>10693</Characters>
  <CharactersWithSpaces>12712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2023-03-30T13:06:00Z</dcterms:created>
  <dc:creator>LUCAS BUSANI XAVIER</dc:creator>
  <dc:description/>
  <dc:language>en-CA</dc:language>
  <cp:lastModifiedBy/>
  <cp:lastPrinted>2023-03-30T19:34:00Z</cp:lastPrinted>
  <dcterms:modified xsi:type="dcterms:W3CDTF">2026-06-01T14:53:37Z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id="EVoNbfsT"/&gt;&lt;style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