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pt-BR"/>
        </w:rPr>
      </w:pPr>
      <w:r>
        <w:rPr>
          <w:b/>
          <w:bCs/>
          <w:lang w:val="pt-BR"/>
        </w:rPr>
        <w:t>O que significar viver “no mundo que o iMac criou”?</w:t>
      </w:r>
    </w:p>
    <w:p>
      <w:pPr>
        <w:pStyle w:val="Normal"/>
        <w:rPr>
          <w:lang w:val="pt-BR"/>
        </w:rPr>
      </w:pPr>
      <w:r>
        <w:rPr>
          <w:lang w:val="pt-BR"/>
        </w:rPr>
        <w:t xml:space="preserve">Publicação Original: </w:t>
      </w:r>
      <w:hyperlink r:id="rId2">
        <w:r>
          <w:rPr>
            <w:rStyle w:val="Hyperlink"/>
            <w:lang w:val="pt-BR"/>
          </w:rPr>
          <w:t>https://www.estadao.com.br/politica/gestao-politica-e-sociedade/o-que-significar-viver-no-mundo-que-o-imac-criou/</w:t>
        </w:r>
      </w:hyperlink>
      <w:r>
        <w:rPr>
          <w:lang w:val="pt-BR"/>
        </w:rPr>
        <w:t xml:space="preserve"> </w:t>
        <w:br/>
        <w:t>Data: 19/08/2023 | 18h00</w:t>
      </w:r>
    </w:p>
    <w:p>
      <w:pPr>
        <w:pStyle w:val="Normal"/>
        <w:rPr>
          <w:lang w:val="pt-BR"/>
        </w:rPr>
      </w:pPr>
      <w:hyperlink r:id="rId3">
        <w:r>
          <w:rPr>
            <w:rStyle w:val="Hyperlink"/>
            <w:lang w:val="pt-BR"/>
          </w:rPr>
          <w:t>Em sua coluna recente</w:t>
        </w:r>
      </w:hyperlink>
      <w:r>
        <w:rPr>
          <w:lang w:val="pt-BR"/>
        </w:rPr>
        <w:t>, Pedro Doria aproveita a comemoração de 25 anos do iMac para nos mostrar como os artefatos tecnológicos que, hoje, usamos diariamente, tem o computador revolucionário da Apple quase como um ancestral comum. Foi a partir dele que muito do que entendemos por tecnologia se formou, e, em especial, a nossa relação com a tecnologia. Não é, de forma alguma, uma afirmação errônea. Mas, a meu ver, mais interessante ainda seria perguntar: e o que isso significa?</w:t>
      </w:r>
    </w:p>
    <w:p>
      <w:pPr>
        <w:pStyle w:val="Normal"/>
        <w:rPr>
          <w:lang w:val="pt-BR"/>
        </w:rPr>
      </w:pPr>
      <w:r>
        <w:rPr>
          <w:lang w:val="pt-BR"/>
        </w:rPr>
      </w:r>
    </w:p>
    <w:p>
      <w:pPr>
        <w:pStyle w:val="Normal"/>
        <w:rPr>
          <w:lang w:val="pt-BR"/>
        </w:rPr>
      </w:pPr>
      <w:r>
        <w:rPr>
          <w:lang w:val="pt-BR"/>
        </w:rPr>
        <w:t xml:space="preserve">Longe de uma coluna crítica, sua constatação sobre importância das grandes empresas de tecnologia do Vale do Silício e seu domínio sobre nossa percepção, entendimento e relação com tecnologias é um dos pontos centrais de Morozov </w:t>
      </w:r>
      <w:r>
        <w:fldChar w:fldCharType="begin"/>
      </w:r>
      <w:r>
        <w:rPr>
          <w:lang w:val="pt-BR"/>
        </w:rPr>
        <w:instrText xml:space="preserve">ADDIN ZOTERO_ITEM CSL_CITATION {"citationID":"dkLH5YLo","properties":{"formattedCitation":"(2018)","plainCitation":"(2018)","noteIndex":0},"citationItems":[{"id":34,"uris":["http://zotero.org/users/local/vufRKVKp/items/S9CQE4IS"],"itemData":{"id":34,"type":"book","abstract":"Reunião dos principais artigos de um dos mais influentes especialistas em tecnologia e em internet do mundo, Evgeny Morozov. Big tech problematiza a lógica do chamado \"solucionismo\" tecnológico, que enxerga a tecnologia como panaceia para problemas que instituições falharam em resolver. O livro alerta que a internet e plataformas tecnológicas baseadas em dados pessoais (Airbnb, Uber, Facebook e WhatsApp, para dar alguns exemplos), diferente do que se costuma acreditar, podem servir de ferramenta contrária à democracia, dependendo da maneira como são usadas. Extremamente atual, abordando os efeitos positivos e negativos do universo automatizado em que vivemos, este livro faz parte da coleção Exit e comporta os textos essenciais do autor, inédito em português. ––– Este livro faz parte da Coleção Exit – um espaço editorial que busca identificar e analisar criticamente vários temas do mundo contemporâneo. Já conhece todos os títulos da coleção?","edition":"1ª edição","ISBN":"978-85-7126-012-2","language":"Português","publisher":"Ubu Editora","source":"Amazon","title":"Big Tech: A ascensão dos dados e a morte da política","title-short":"Big Tech","author":[{"family":"Morozov","given":"Evgeny"}],"issued":{"date-parts":[["2018",12,4]]}},"label":"page","suppress-author":true}],"schema":"https://github.com/citation-style-language/schema/raw/master/csl-citation.json"}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(2018)</w:t>
      </w:r>
      <w:r>
        <w:rPr>
          <w:lang w:val="pt-BR"/>
        </w:rPr>
      </w:r>
      <w:r>
        <w:rPr>
          <w:lang w:val="pt-BR"/>
        </w:rPr>
        <w:fldChar w:fldCharType="end"/>
      </w:r>
      <w:r>
        <w:rPr>
          <w:lang w:val="pt-BR"/>
        </w:rPr>
        <w:t xml:space="preserve">. Mesmo focado na relação entre dados, algoritmos, IA e a cultura resultadista que domina as implementações atuais de tais tecnologias e sua relação contraditória com princípios democráticos, o argumento central de Morozov é de que, hoje, nos encontramos incapazes de imaginar um mundo radicalmente tecnológico, mas livre das amarras do Vale do Silício – o que nos lembra muito do Realismo Capitalista de Mark Fisher </w:t>
      </w:r>
      <w:r>
        <w:fldChar w:fldCharType="begin"/>
      </w:r>
      <w:r>
        <w:rPr>
          <w:lang w:val="pt-BR"/>
        </w:rPr>
        <w:instrText xml:space="preserve">ADDIN ZOTERO_ITEM CSL_CITATION {"citationID":"CZ3vQenQ","properties":{"formattedCitation":"(2020)","plainCitation":"(2020)","noteIndex":0},"citationItems":[{"id":36,"uris":["http://zotero.org/users/local/vufRKVKp/items/NIH5PHMA"],"itemData":{"id":36,"type":"book","abstract":"Após 1989, o capitalismo se apresentou com sucesso como o único sistema político-econômico aparentemente viável no mundo – uma situação que só começou a ser questionada para fora dos círculos mais duros da esquerda a partir da crise bancária de 2008, quando começa-se a entender a urgência de se desmontar a ideia de que “não existe alternativa”. Este livro, escrito pelo filósofo e crítico cultural britânico Mark Fisher, desnuda o desenvolvimento e as principais características do “realismo capitalista”, conceito que delineia a estrutura ideológica em que estamos vivendo. Usando exemplos de política, filmes, ficção, trabalho e educação, argumenta que o “realismo capitalista” captura todas as áreas da experiência contemporânea. Mas também mostra que, devido a uma série de inconsistências e falhas internas ao programa de realidade do Capital, o capitalismo é, de fato, tudo ― menos realista. “Realismo capitalista” revela que a ideologia está hoje assentada positiva e diretamente na crueza material do capital. Sobre um chão a partir do qual não se veem alternativas no horizonte, ocorre que é possível revolver o solo: a fratura e a revolução estão estruturalmente sob os pés. ― Alysson Leandro Mascaro, professor da USP “Um clássico cult”. –– Hua Hsu, The New Yorker “Uma leitura rápida e divertida”. ― Socialist Standard “Uma leitura provocativa e necessária… para quem quiser falar seriamente sobre a política da educação hoje”. ― Times Higher Educational Supplement “Mark Fisher foi o líder intelectual de uma geração” ― Alex Niven, New Staterman “Mark Fisher foi prolífico, penetrante, espirituoso, humano e onívoro” ― Meagan Day, Jacobin","edition":"1ª edição","ISBN":"9786587233093","language":"Português","publisher":"Autonomia Literária","source":"Amazon","title":"Realismo Capitalista: é Mais Fácil Imaginar o fim do Mundo do que o fim do Capitalismo?","title-short":"Realismo Capitalista","author":[{"family":"Fisher","given":"Mark"}],"translator":[{"family":"Gonsalves","given":"Rodrigo"},{"family":"Adeodato","given":"Jorge"},{"family":"Silveira","given":"Maikel","non-dropping-particle":"da"}],"issued":{"date-parts":[["2020",1,1]]}},"label":"page","suppress-author":true}],"schema":"https://github.com/citation-style-language/schema/raw/master/csl-citation.json"}</w:instrText>
      </w:r>
      <w:r>
        <w:rPr>
          <w:lang w:val="pt-BR"/>
        </w:rPr>
      </w:r>
      <w:r>
        <w:rPr>
          <w:lang w:val="pt-BR"/>
        </w:rPr>
        <w:fldChar w:fldCharType="separate"/>
      </w:r>
      <w:r>
        <w:rPr>
          <w:lang w:val="pt-BR"/>
        </w:rPr>
      </w:r>
      <w:r>
        <w:rPr>
          <w:rFonts w:cs="Calibri" w:ascii="Calibri" w:hAnsi="Calibri"/>
        </w:rPr>
        <w:t>(2020)</w:t>
      </w:r>
      <w:r>
        <w:rPr>
          <w:lang w:val="pt-BR"/>
        </w:rPr>
      </w:r>
      <w:r>
        <w:rPr>
          <w:lang w:val="pt-BR"/>
        </w:rPr>
        <w:fldChar w:fldCharType="end"/>
      </w:r>
      <w:r>
        <w:rPr>
          <w:lang w:val="pt-BR"/>
        </w:rPr>
        <w:t>. O mesmo vale para os iMac.</w:t>
      </w:r>
    </w:p>
    <w:p>
      <w:pPr>
        <w:pStyle w:val="Normal"/>
        <w:rPr>
          <w:lang w:val="pt-BR"/>
        </w:rPr>
      </w:pPr>
      <w:r>
        <w:rPr>
          <w:lang w:val="pt-BR"/>
        </w:rPr>
      </w:r>
    </w:p>
    <w:p>
      <w:pPr>
        <w:pStyle w:val="Normal"/>
        <w:rPr>
          <w:lang w:val="pt-BR"/>
        </w:rPr>
      </w:pPr>
      <w:r>
        <w:rPr>
          <w:lang w:val="pt-BR"/>
        </w:rPr>
        <w:t xml:space="preserve">Isso é dizer que a herança de Steve Jobs e seu computador colorido são unicamente ruins? De forma alguma. É preciso entender, porém, que artefatos tecnológicos são profundamente paradoxais </w:t>
      </w:r>
      <w:r>
        <w:fldChar w:fldCharType="begin"/>
      </w:r>
      <w:r>
        <w:rPr>
          <w:lang w:val="pt-BR"/>
        </w:rPr>
        <w:instrText xml:space="preserve">ADDIN ZOTERO_ITEM CSL_CITATION {"citationID":"0MDh9TZ6","properties":{"formattedCitation":"(Mick &amp; Fournier, 1998)","plainCitation":"(Mick &amp; Fournier, 1998)","noteIndex":0},"citationItems":[{"id":7,"uris":["http://zotero.org/users/local/vufRKVKp/items/RBW7XRKE"],"itemData":{"id":7,"type":"article-journal","abstract":"Abstract\n            Although technological products are unavoidable in contemporary life, studies focusing on them in the consumer behavior field have been few and narrow. In this article, we investigate consumers' perspectives, meanings, and experiences in relation to a range of technological products, emphasizing lengthy and repeated interviews with 29 households, including a set of first-time owners. We draw on literatures spanning from technology, paradox, and postmodernism to clinical and social psychology, and combine them with data collection and analysis in the spirit of grounded theory. The outcome is a new conceptual framework on the paradoxes of technological products and their influences on emotional reactions and behavioral coping strategies. We discuss the findings in terms of implications for theories of technology, innovation diffusion, and human coping, and an expanded role for the paradox construct in consumer research.","container-title":"Journal of Consumer Research","DOI":"10.1086/209531","ISSN":"1537-5277, 0093-5301","issue":"2","language":"en","page":"123-143","source":"DOI.org (Crossref)","title":"Paradoxes of Technology: Consumer Cognizance, Emotions, and Coping Strategies","title-short":"Paradoxes of Technology","volume":"25","author":[{"family":"Mick","given":"David Glen"},{"family":"Fournier","given":"Susan"}],"issued":{"date-parts":[["1998",9,1]]}}}],"schema":"https://github.com/citation-style-language/schema/raw/master/csl-citation.json"}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(Mick &amp; Fournier, 1998)</w:t>
      </w:r>
      <w:r>
        <w:rPr>
          <w:lang w:val="pt-BR"/>
        </w:rPr>
      </w:r>
      <w:r>
        <w:rPr>
          <w:lang w:val="pt-BR"/>
        </w:rPr>
        <w:fldChar w:fldCharType="end"/>
      </w:r>
      <w:r>
        <w:rPr>
          <w:lang w:val="pt-BR"/>
        </w:rPr>
        <w:t xml:space="preserve">. Ou seja, se de um lado o iMac era menos intimidador e de fácil uso para os menos versados com tecnologias, de outro, ele tirou de seus usuários o controle sobre seu sistema e suas funções, além de, ao deixar de ensinar seus usuários sobre seu funcionamento, introduziu um grupo gigante de pessoas tecnologicamente vulneráveis dentro de um mercado dominado por experts tecnológicos. </w:t>
      </w:r>
    </w:p>
    <w:p>
      <w:pPr>
        <w:pStyle w:val="Normal"/>
        <w:rPr>
          <w:lang w:val="pt-BR"/>
        </w:rPr>
      </w:pPr>
      <w:r>
        <w:rPr>
          <w:lang w:val="pt-BR"/>
        </w:rPr>
      </w:r>
    </w:p>
    <w:p>
      <w:pPr>
        <w:pStyle w:val="Normal"/>
        <w:rPr>
          <w:lang w:val="pt-BR"/>
        </w:rPr>
      </w:pPr>
      <w:r>
        <w:rPr>
          <w:lang w:val="pt-BR"/>
        </w:rPr>
        <w:t xml:space="preserve">Hoje, os resultados paradoxais do movimento da indústria para tal caminho são evidentes: ainda que nossos celulares e outros </w:t>
      </w:r>
      <w:r>
        <w:rPr>
          <w:i/>
          <w:iCs/>
          <w:lang w:val="pt-BR"/>
        </w:rPr>
        <w:t>smart devices</w:t>
      </w:r>
      <w:r>
        <w:rPr>
          <w:lang w:val="pt-BR"/>
        </w:rPr>
        <w:t xml:space="preserve"> sejam altamente acessíveis e intuitivos – ao menos no papel –, isso vem acompanhado de uma precariedade massiva em termos do conhecimento sobre tecnologia por parte dos usuários. Sem tal conhecimento, é fácil explorar essa base com as mais diversas mentiras e meias verdades. </w:t>
      </w:r>
    </w:p>
    <w:p>
      <w:pPr>
        <w:pStyle w:val="Normal"/>
        <w:rPr>
          <w:lang w:val="pt-BR"/>
        </w:rPr>
      </w:pPr>
      <w:r>
        <w:rPr>
          <w:lang w:val="pt-BR"/>
        </w:rPr>
      </w:r>
    </w:p>
    <w:p>
      <w:pPr>
        <w:pStyle w:val="Normal"/>
        <w:rPr>
          <w:lang w:val="pt-BR"/>
        </w:rPr>
      </w:pPr>
      <w:r>
        <w:rPr>
          <w:lang w:val="pt-BR"/>
        </w:rPr>
        <w:t>Um exemplo que descobri recentemente é do Dropbox, quando tentaram compartilhar uma pasta de trabalho comigo, que até então não tinha nem conta na plataforma. Diferente de qualquer outro serviço de armazenamento em nuvem que eu conheça, a Dropbox não cobra por espaço em disco disponível, mas por espaço disponível para cada usuário acessar. Ou seja, caso eu tenha muito espaço contratado no serviço, e tenha uma pasta com 100Gb de arquivos que quero compartilhar com você, você só pode acessar tais arquivos se também tiver ao menos 100Gb contratados. O modelo é completamente deslocado da realidade material de como discos rígidos funcionam, e uma afronta ao consumidor. Se eu pago por 100Gb em um disco remoto dentro de um servidor, eu deveria poder escolher quem acessa tais dados ou não, e isso não custaria mais armazenamento para o provedor do serviço. Mas, para ficar revoltado com esse absurdo, como eu fiquei, é preciso de um entendimento mínimo de tal funcionamento.</w:t>
      </w:r>
    </w:p>
    <w:p>
      <w:pPr>
        <w:pStyle w:val="Normal"/>
        <w:rPr>
          <w:lang w:val="pt-BR"/>
        </w:rPr>
      </w:pPr>
      <w:r>
        <w:rPr>
          <w:lang w:val="pt-BR"/>
        </w:rPr>
      </w:r>
    </w:p>
    <w:p>
      <w:pPr>
        <w:pStyle w:val="Normal"/>
        <w:rPr>
          <w:lang w:val="pt-BR"/>
        </w:rPr>
      </w:pPr>
      <w:r>
        <w:rPr>
          <w:lang w:val="pt-BR"/>
        </w:rPr>
        <w:t xml:space="preserve">Podemos elencar inúmeros outros paradoxos, por exemplo: com perfis de redes sociais posso me expressar mais do que nunca, mas estou confinado às possibilidades da plataforma e às amarras sociais; com ebooks posso carregar comigo todos os livros que eu quiser, mas estou preso aos que estão disponíveis na loja do meu aparelho; com o ChatGPT não preciso mais saber redigir um texto – risos –, mas agora preciso aprender como dar o </w:t>
      </w:r>
      <w:r>
        <w:rPr>
          <w:i/>
          <w:iCs/>
          <w:lang w:val="pt-BR"/>
        </w:rPr>
        <w:t>prompt</w:t>
      </w:r>
      <w:r>
        <w:rPr>
          <w:lang w:val="pt-BR"/>
        </w:rPr>
        <w:t xml:space="preserve"> correto para ele não soltar mentiras. Em suma, é impossível fugir dos paradoxos da tecnologia, e buscar algum tipo de meio termo ideal é não só ingênuo, como incompatível com o conceito de paradoxo em si: um paradoxo delimita que é “ao mesmo tempo X e não-X” </w:t>
      </w:r>
      <w:r>
        <w:fldChar w:fldCharType="begin"/>
      </w:r>
      <w:r>
        <w:rPr>
          <w:lang w:val="pt-BR"/>
        </w:rPr>
        <w:instrText xml:space="preserve">ADDIN ZOTERO_ITEM CSL_CITATION {"citationID":"uCFCJWj4","properties":{"formattedCitation":"(Mick &amp; Fournier, 1998, p. 125, tradu\\uc0\\u231{}\\uc0\\u227{}o livre)","plainCitation":"(Mick &amp; Fournier, 1998, p. 125, tradução livre)","noteIndex":0},"citationItems":[{"id":7,"uris":["http://zotero.org/users/local/vufRKVKp/items/RBW7XRKE"],"itemData":{"id":7,"type":"article-journal","abstract":"Abstract\n            Although technological products are unavoidable in contemporary life, studies focusing on them in the consumer behavior field have been few and narrow. In this article, we investigate consumers' perspectives, meanings, and experiences in relation to a range of technological products, emphasizing lengthy and repeated interviews with 29 households, including a set of first-time owners. We draw on literatures spanning from technology, paradox, and postmodernism to clinical and social psychology, and combine them with data collection and analysis in the spirit of grounded theory. The outcome is a new conceptual framework on the paradoxes of technological products and their influences on emotional reactions and behavioral coping strategies. We discuss the findings in terms of implications for theories of technology, innovation diffusion, and human coping, and an expanded role for the paradox construct in consumer research.","container-title":"Journal of Consumer Research","DOI":"10.1086/209531","ISSN":"1537-5277, 0093-5301","issue":"2","language":"en","page":"123-143","source":"DOI.org (Crossref)","title":"Paradoxes of Technology: Consumer Cognizance, Emotions, and Coping Strategies","title-short":"Paradoxes of Technology","volume":"25","author":[{"family":"Mick","given":"David Glen"},{"family":"Fournier","given":"Susan"}],"issued":{"date-parts":[["1998",9,1]]}},"locator":"125","label":"page","suffix":", tradução livre"}],"schema":"https://github.com/citation-style-language/schema/raw/master/csl-citation.json"}</w:instrText>
      </w:r>
      <w:r>
        <w:rPr>
          <w:lang w:val="pt-BR"/>
        </w:rPr>
      </w:r>
      <w:r>
        <w:rPr>
          <w:lang w:val="pt-BR"/>
        </w:rPr>
        <w:fldChar w:fldCharType="separate"/>
      </w:r>
      <w:r>
        <w:rPr>
          <w:lang w:val="pt-BR"/>
        </w:rPr>
      </w:r>
      <w:r>
        <w:rPr>
          <w:rFonts w:cs="Calibri" w:ascii="Calibri" w:hAnsi="Calibri"/>
          <w:szCs w:val="24"/>
          <w:lang w:val="pt-BR"/>
        </w:rPr>
        <w:t>(Mick &amp; Fournier, 1998, p. 125, tradução livre)</w:t>
      </w:r>
      <w:r>
        <w:rPr>
          <w:lang w:val="pt-BR"/>
        </w:rPr>
      </w:r>
      <w:r>
        <w:rPr>
          <w:lang w:val="pt-BR"/>
        </w:rPr>
        <w:fldChar w:fldCharType="end"/>
      </w:r>
      <w:r>
        <w:rPr>
          <w:lang w:val="pt-BR"/>
        </w:rPr>
        <w:t>. É preciso lidar com os paradoxos, não os evitar.</w:t>
      </w:r>
    </w:p>
    <w:p>
      <w:pPr>
        <w:pStyle w:val="Normal"/>
        <w:rPr>
          <w:lang w:val="pt-BR"/>
        </w:rPr>
      </w:pPr>
      <w:r>
        <w:rPr>
          <w:lang w:val="pt-BR"/>
        </w:rPr>
      </w:r>
    </w:p>
    <w:p>
      <w:pPr>
        <w:pStyle w:val="Normal"/>
        <w:rPr>
          <w:lang w:val="pt-BR"/>
        </w:rPr>
      </w:pPr>
      <w:r>
        <w:rPr>
          <w:lang w:val="pt-BR"/>
        </w:rPr>
        <w:t xml:space="preserve">Por isso, é fundamental que entendamos não apenas quais os paradoxos que os artefatos tecnológicos com os quais interagimos diariamente trazem, mas de que maneira tal paradoxo é apresentado em termos de suas </w:t>
      </w:r>
      <w:r>
        <w:rPr>
          <w:i/>
          <w:iCs/>
          <w:lang w:val="pt-BR"/>
        </w:rPr>
        <w:t xml:space="preserve">affordances </w:t>
      </w:r>
      <w:r>
        <w:fldChar w:fldCharType="begin"/>
      </w:r>
      <w:r>
        <w:rPr>
          <w:i/>
          <w:iCs/>
          <w:lang w:val="pt-BR"/>
        </w:rPr>
        <w:instrText xml:space="preserve">ADDIN ZOTERO_ITEM CSL_CITATION {"citationID":"bTtSmdQt","properties":{"formattedCitation":"(Gibson, 2014; Hutchby, 2001)","plainCitation":"(Gibson, 2014; Hutchby, 2001)","noteIndex":0},"citationItems":[{"id":38,"uris":["http://zotero.org/users/local/vufRKVKp/items/8ZTBQ9D5"],"itemData":{"id":38,"type":"book","edition":"1","ISBN":"978-1-315-74021-8","language":"en","note":"DOI: 10.4324/9781315740218","publisher":"Psychology Press","source":"DOI.org (Crossref)","title":"The Ecological Approach to Visual Perception: Classic Edition","title-short":"The Ecological Approach to Visual Perception","URL":"https://www.taylorfrancis.com/books/9781315740218","author":[{"family":"Gibson","given":"James J."}],"accessed":{"date-parts":[["2023",8,19]]},"issued":{"date-parts":[["2014",11,20]]}}},{"id":40,"uris":["http://zotero.org/users/local/vufRKVKp/items/6WNR2HNZ"],"itemData":{"id":40,"type":"article-journal","abstract":"In contrast to recent sociological emphases on the social shaping of technology, this article proposes and illustrates a way of analysing the technological shaping of sociality. Drawing on the concept of affordances (Gibson 1979), the article argues for a recognition of the constraining, as well as enabling, materiality of artefacts. The argument is set in the theoretical context of one of the most recent and comprehensive statements of anti-essentialism (Grint and Woolgar 1997). The position is illustrated through a reinterpretation of some case studies used by proponents of the radical constructivist position.","container-title":"Sociology","DOI":"10.1177/S0038038501000219","ISSN":"0038-0385, 1469-8684","issue":"2","journalAbbreviation":"Sociology","language":"en","page":"441-456","source":"DOI.org (Crossref)","title":"Technologies, Texts and Affordances","volume":"35","author":[{"family":"Hutchby","given":"Ian"}],"issued":{"date-parts":[["2001",5]]}}}],"schema":"https://github.com/citation-style-language/schema/raw/master/csl-citation.json"}</w:instrText>
      </w:r>
      <w:r>
        <w:rPr>
          <w:i/>
          <w:iCs/>
          <w:lang w:val="pt-BR"/>
        </w:rPr>
      </w:r>
      <w:r>
        <w:rPr>
          <w:i/>
          <w:iCs/>
          <w:lang w:val="pt-BR"/>
        </w:rPr>
        <w:fldChar w:fldCharType="separate"/>
      </w:r>
      <w:r>
        <w:rPr>
          <w:i/>
          <w:iCs/>
          <w:lang w:val="pt-BR"/>
        </w:rPr>
      </w:r>
      <w:r>
        <w:rPr>
          <w:rFonts w:cs="Calibri" w:ascii="Calibri" w:hAnsi="Calibri"/>
          <w:lang w:val="pt-BR"/>
        </w:rPr>
        <w:t>(Gibson, 2014; Hutchby, 2001)</w:t>
      </w:r>
      <w:r>
        <w:rPr>
          <w:i/>
          <w:iCs/>
          <w:lang w:val="pt-BR"/>
        </w:rPr>
      </w:r>
      <w:r>
        <w:rPr>
          <w:i/>
          <w:iCs/>
          <w:lang w:val="pt-BR"/>
        </w:rPr>
        <w:fldChar w:fldCharType="end"/>
      </w:r>
      <w:r>
        <w:rPr>
          <w:lang w:val="pt-BR"/>
        </w:rPr>
        <w:t xml:space="preserve">. Artefatos tecnológicos são, afinal, objetos intencionais e agênticos, ou seja, são desenvolvidos com todo o seu funcionamento pensado para enquadrar o comportamento do usuário dentro das intenções de seus criadores </w:t>
      </w:r>
      <w:r>
        <w:fldChar w:fldCharType="begin"/>
      </w:r>
      <w:r>
        <w:rPr>
          <w:lang w:val="pt-BR"/>
        </w:rPr>
        <w:instrText xml:space="preserve">ADDIN ZOTERO_ITEM CSL_CITATION {"citationID":"7ZxBWnSw","properties":{"formattedCitation":"(Shaw, 2017)","plainCitation":"(Shaw, 2017)","noteIndex":0},"citationItems":[{"id":41,"uris":["http://zotero.org/users/local/vufRKVKp/items/YN358TYQ"],"itemData":{"id":41,"type":"article-journal","abstract":"This essay addresses how digital and interactive media scholars might adapt the concept of affordances in relation to Stuart Hall’s canonical ‘Encoding/Decoding’ model to better account for how certain types of interactivity are promoted or discouraged by new technologies and platforms. In particular, Shaw looks at how the perceptible, hidden, and false affordances of designed objects intersect with Hall’s dominant/hegemonic, negotiated, and oppositional reading positions. Merging these theories allows scholars to approach the political implications of audience activities with these technologies in new and more nuanced ways.","container-title":"Media, Culture &amp; Society","DOI":"10.1177/0163443717692741","ISSN":"0163-4437, 1460-3675","issue":"4","journalAbbreviation":"Media, Culture &amp; Society","language":"en","page":"592-602","source":"DOI.org (Crossref)","title":"Encoding and decoding affordances: Stuart Hall and interactive media technologies","title-short":"Encoding and decoding affordances","volume":"39","author":[{"family":"Shaw","given":"Adrienne"}],"issued":{"date-parts":[["2017",5]]}}}],"schema":"https://github.com/citation-style-language/schema/raw/master/csl-citation.json"}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(Shaw, 2017)</w:t>
      </w:r>
      <w:r>
        <w:rPr>
          <w:lang w:val="pt-BR"/>
        </w:rPr>
      </w:r>
      <w:r>
        <w:rPr>
          <w:lang w:val="pt-BR"/>
        </w:rPr>
        <w:fldChar w:fldCharType="end"/>
      </w:r>
      <w:r>
        <w:rPr>
          <w:lang w:val="pt-BR"/>
        </w:rPr>
        <w:t xml:space="preserve">. Tal enquadramento pode não delimitar fundamentalmente, mas encoraja e desencoraja certos comportamentos, proíbe alguns, manipula outros etc </w:t>
      </w:r>
      <w:r>
        <w:fldChar w:fldCharType="begin"/>
      </w:r>
      <w:r>
        <w:rPr>
          <w:lang w:val="pt-BR"/>
        </w:rPr>
        <w:instrText xml:space="preserve">ADDIN ZOTERO_ITEM CSL_CITATION {"citationID":"JzrweRBa","properties":{"formattedCitation":"(Davis &amp; Chouinard, 2016)","plainCitation":"(Davis &amp; Chouinard, 2016)","noteIndex":0},"citationItems":[{"id":42,"uris":["http://zotero.org/users/local/vufRKVKp/items/V3U3MYE5"],"itemData":{"id":42,"type":"article-journal","abstract":"As a concept, affordance is integral to scholarly analysis across multiple fields—including media studies, science and technology studies, communication studies, ecological psychology, and design studies among others. Critics, however, rightly point to the following shortcomings: definitional confusion, a false binary in which artifacts either afford or do not, and failure to account for diverse subject-artifact relations. Addressing these critiques, this article demarcates the mechanisms of affordance—as artifacts request, demand, allow, encourage, discourage, and refuse—which take shape through interrelated conditions: perception, dexterity, and cultural and institutional legitimacy. Together, the mechanisms and conditions constitute a dynamic and structurally situated model that addresses how artifacts afford, for whom and under what circumstances.","container-title":"Bulletin of Science, Technology &amp; Society","DOI":"10.1177/0270467617714944","ISSN":"0270-4676, 1552-4183","issue":"4","journalAbbreviation":"Bulletin of Science, Technology &amp; Society","language":"en","page":"241-248","source":"DOI.org (Crossref)","title":"Theorizing Affordances: From Request to Refuse","title-short":"Theorizing Affordances","volume":"36","author":[{"family":"Davis","given":"Jenny L."},{"family":"Chouinard","given":"James B."}],"issued":{"date-parts":[["2016",12]]}}}],"schema":"https://github.com/citation-style-language/schema/raw/master/csl-citation.json"}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(Davis &amp; Chouinard, 2016)</w:t>
      </w:r>
      <w:r>
        <w:rPr>
          <w:lang w:val="pt-BR"/>
        </w:rPr>
      </w:r>
      <w:r>
        <w:rPr>
          <w:lang w:val="pt-BR"/>
        </w:rPr>
        <w:fldChar w:fldCharType="end"/>
      </w:r>
      <w:r>
        <w:rPr>
          <w:lang w:val="pt-BR"/>
        </w:rPr>
        <w:t>. Assim, da mesma forma que podemos vanglorias Jobs pelo lado “benéfico” da forma com que suas criações manifestaram seus paradoxos tecnológicos, também podemos criticá-lo pelo lado “maléfico”.</w:t>
      </w:r>
    </w:p>
    <w:p>
      <w:pPr>
        <w:pStyle w:val="Normal"/>
        <w:rPr>
          <w:lang w:val="pt-BR"/>
        </w:rPr>
      </w:pPr>
      <w:r>
        <w:rPr>
          <w:lang w:val="pt-BR"/>
        </w:rPr>
      </w:r>
    </w:p>
    <w:p>
      <w:pPr>
        <w:pStyle w:val="Normal"/>
        <w:rPr>
          <w:lang w:val="pt-BR"/>
        </w:rPr>
      </w:pPr>
      <w:r>
        <w:rPr>
          <w:lang w:val="pt-BR"/>
        </w:rPr>
        <w:t>Hoje, viver “no mundo que o iMac criou” significa muito mais do que viver num mundo de belas tecnologias coloridas e intuitivas. Significa viver em um mundo profundamente dependente de artefatos tecnológicos complexos, mas que é majoritariamente incapaz de decodificá-los propriamente. Em um mundo de usuários – e aqui o termo compartilhado com o mundo das drogas é preciso – que não apenas não compreendem o funcionamento no nível mais básico dos aparelhos que dominam suas vidas, como, mesmo se soubessem, tais aparelhos são desenhados para impedir qualquer uso que não seja o desejado por seus criadores. Em um mundo ignorante sobre sua própria ignorância.</w:t>
      </w:r>
    </w:p>
    <w:p>
      <w:pPr>
        <w:pStyle w:val="Normal"/>
        <w:rPr>
          <w:lang w:val="pt-BR"/>
        </w:rPr>
      </w:pPr>
      <w:r>
        <w:rPr>
          <w:lang w:val="pt-BR"/>
        </w:rPr>
      </w:r>
    </w:p>
    <w:p>
      <w:pPr>
        <w:pStyle w:val="Normal"/>
        <w:rPr>
          <w:b/>
          <w:bCs/>
          <w:lang w:val="pt-BR"/>
        </w:rPr>
      </w:pPr>
      <w:r>
        <w:rPr>
          <w:b/>
          <w:bCs/>
          <w:lang w:val="pt-BR"/>
        </w:rPr>
        <w:t>Referências</w:t>
      </w:r>
    </w:p>
    <w:p>
      <w:pPr>
        <w:pStyle w:val="Bibliography"/>
        <w:rPr>
          <w:rFonts w:ascii="Calibri" w:hAnsi="Calibri" w:cs="Calibri"/>
        </w:rPr>
      </w:pPr>
      <w:r>
        <w:fldChar w:fldCharType="begin"/>
      </w:r>
      <w:r>
        <w:rPr>
          <w:lang w:val="pt-BR"/>
        </w:rPr>
        <w:instrText xml:space="preserve">ADDIN ZOTERO_BIBL {"uncited":[],"omitted":[],"custom":[]} CSL_BIBLIOGRAPHY</w:instrText>
      </w:r>
      <w:r>
        <w:rPr>
          <w:lang w:val="pt-BR"/>
        </w:rPr>
      </w:r>
      <w:r>
        <w:rPr>
          <w:lang w:val="pt-BR"/>
        </w:rPr>
        <w:fldChar w:fldCharType="separate"/>
      </w:r>
      <w:r>
        <w:rPr>
          <w:lang w:val="pt-BR"/>
        </w:rPr>
      </w:r>
      <w:r>
        <w:rPr>
          <w:rFonts w:cs="Calibri" w:ascii="Calibri" w:hAnsi="Calibri"/>
        </w:rPr>
        <w:t xml:space="preserve">Davis, J. L., &amp; Chouinard, J. B. (2016). Theorizing Affordances: From Request to Refuse. </w:t>
      </w:r>
      <w:r>
        <w:rPr>
          <w:rFonts w:cs="Calibri" w:ascii="Calibri" w:hAnsi="Calibri"/>
          <w:i/>
          <w:iCs/>
        </w:rPr>
        <w:t>Bulletin of Science, Technology &amp; Society</w:t>
      </w:r>
      <w:r>
        <w:rPr>
          <w:rFonts w:cs="Calibri" w:ascii="Calibri" w:hAnsi="Calibri"/>
        </w:rPr>
        <w:t xml:space="preserve">, </w:t>
      </w:r>
      <w:r>
        <w:rPr>
          <w:rFonts w:cs="Calibri" w:ascii="Calibri" w:hAnsi="Calibri"/>
          <w:i/>
          <w:iCs/>
        </w:rPr>
        <w:t>36</w:t>
      </w:r>
      <w:r>
        <w:rPr>
          <w:rFonts w:cs="Calibri" w:ascii="Calibri" w:hAnsi="Calibri"/>
        </w:rPr>
        <w:t>(4), 241–248. https://doi.org/10.1177/0270467617714944</w:t>
      </w:r>
    </w:p>
    <w:p>
      <w:pPr>
        <w:pStyle w:val="Bibliography"/>
        <w:rPr>
          <w:rFonts w:ascii="Calibri" w:hAnsi="Calibri" w:cs="Calibri"/>
        </w:rPr>
      </w:pPr>
      <w:r>
        <w:rPr>
          <w:rFonts w:cs="Calibri" w:ascii="Calibri" w:hAnsi="Calibri"/>
        </w:rPr>
        <w:t xml:space="preserve">Fisher, M. (2020). </w:t>
      </w:r>
      <w:r>
        <w:rPr>
          <w:rFonts w:cs="Calibri" w:ascii="Calibri" w:hAnsi="Calibri"/>
          <w:i/>
          <w:iCs/>
          <w:lang w:val="pt-BR"/>
        </w:rPr>
        <w:t>Realismo Capitalista: É Mais Fácil Imaginar o fim do Mundo do que o fim do Capitalismo?</w:t>
      </w:r>
      <w:r>
        <w:rPr>
          <w:rFonts w:cs="Calibri" w:ascii="Calibri" w:hAnsi="Calibri"/>
          <w:lang w:val="pt-BR"/>
        </w:rPr>
        <w:t xml:space="preserve"> (R. Gonsalves, J. Adeodato, &amp; M. da Silveira, Trads.; 1</w:t>
      </w:r>
      <w:r>
        <w:rPr>
          <w:rFonts w:cs="Calibri" w:ascii="Calibri" w:hAnsi="Calibri"/>
          <w:vertAlign w:val="superscript"/>
          <w:lang w:val="pt-BR"/>
        </w:rPr>
        <w:t>a</w:t>
      </w:r>
      <w:r>
        <w:rPr>
          <w:rFonts w:cs="Calibri" w:ascii="Calibri" w:hAnsi="Calibri"/>
          <w:lang w:val="pt-BR"/>
        </w:rPr>
        <w:t xml:space="preserve"> edição). </w:t>
      </w:r>
      <w:r>
        <w:rPr>
          <w:rFonts w:cs="Calibri" w:ascii="Calibri" w:hAnsi="Calibri"/>
        </w:rPr>
        <w:t>Autonomia Literária.</w:t>
      </w:r>
    </w:p>
    <w:p>
      <w:pPr>
        <w:pStyle w:val="Bibliography"/>
        <w:rPr>
          <w:rFonts w:ascii="Calibri" w:hAnsi="Calibri" w:cs="Calibri"/>
        </w:rPr>
      </w:pPr>
      <w:r>
        <w:rPr>
          <w:rFonts w:cs="Calibri" w:ascii="Calibri" w:hAnsi="Calibri"/>
        </w:rPr>
        <w:t xml:space="preserve">Gibson, J. J. (2014). </w:t>
      </w:r>
      <w:r>
        <w:rPr>
          <w:rFonts w:cs="Calibri" w:ascii="Calibri" w:hAnsi="Calibri"/>
          <w:i/>
          <w:iCs/>
        </w:rPr>
        <w:t>The Ecological Approach to Visual Perception: Classic Edition</w:t>
      </w:r>
      <w:r>
        <w:rPr>
          <w:rFonts w:cs="Calibri" w:ascii="Calibri" w:hAnsi="Calibri"/>
        </w:rPr>
        <w:t xml:space="preserve"> (1</w:t>
      </w:r>
      <w:r>
        <w:rPr>
          <w:rFonts w:cs="Calibri" w:ascii="Calibri" w:hAnsi="Calibri"/>
          <w:vertAlign w:val="superscript"/>
        </w:rPr>
        <w:t>o</w:t>
      </w:r>
      <w:r>
        <w:rPr>
          <w:rFonts w:cs="Calibri" w:ascii="Calibri" w:hAnsi="Calibri"/>
        </w:rPr>
        <w:t xml:space="preserve"> ed). Psychology Press. https://doi.org/10.4324/9781315740218</w:t>
      </w:r>
    </w:p>
    <w:p>
      <w:pPr>
        <w:pStyle w:val="Bibliography"/>
        <w:rPr>
          <w:rFonts w:ascii="Calibri" w:hAnsi="Calibri" w:cs="Calibri"/>
        </w:rPr>
      </w:pPr>
      <w:r>
        <w:rPr>
          <w:rFonts w:cs="Calibri" w:ascii="Calibri" w:hAnsi="Calibri"/>
        </w:rPr>
        <w:t xml:space="preserve">Hutchby, I. (2001). Technologies, Texts and Affordances. </w:t>
      </w:r>
      <w:r>
        <w:rPr>
          <w:rFonts w:cs="Calibri" w:ascii="Calibri" w:hAnsi="Calibri"/>
          <w:i/>
          <w:iCs/>
        </w:rPr>
        <w:t>Sociology</w:t>
      </w:r>
      <w:r>
        <w:rPr>
          <w:rFonts w:cs="Calibri" w:ascii="Calibri" w:hAnsi="Calibri"/>
        </w:rPr>
        <w:t xml:space="preserve">, </w:t>
      </w:r>
      <w:r>
        <w:rPr>
          <w:rFonts w:cs="Calibri" w:ascii="Calibri" w:hAnsi="Calibri"/>
          <w:i/>
          <w:iCs/>
        </w:rPr>
        <w:t>35</w:t>
      </w:r>
      <w:r>
        <w:rPr>
          <w:rFonts w:cs="Calibri" w:ascii="Calibri" w:hAnsi="Calibri"/>
        </w:rPr>
        <w:t>(2), 441–456. https://doi.org/10.1177/S0038038501000219</w:t>
      </w:r>
    </w:p>
    <w:p>
      <w:pPr>
        <w:pStyle w:val="Bibliography"/>
        <w:rPr>
          <w:rFonts w:ascii="Calibri" w:hAnsi="Calibri" w:cs="Calibri"/>
          <w:lang w:val="pt-BR"/>
        </w:rPr>
      </w:pPr>
      <w:r>
        <w:rPr>
          <w:rFonts w:cs="Calibri" w:ascii="Calibri" w:hAnsi="Calibri"/>
        </w:rPr>
        <w:t xml:space="preserve">Mick, D. G., &amp; Fournier, S. (1998). Paradoxes of Technology: Consumer Cognizance, Emotions, and Coping Strategies. </w:t>
      </w:r>
      <w:r>
        <w:rPr>
          <w:rFonts w:cs="Calibri" w:ascii="Calibri" w:hAnsi="Calibri"/>
          <w:i/>
          <w:iCs/>
          <w:lang w:val="pt-BR"/>
        </w:rPr>
        <w:t>Journal of Consumer Research</w:t>
      </w:r>
      <w:r>
        <w:rPr>
          <w:rFonts w:cs="Calibri" w:ascii="Calibri" w:hAnsi="Calibri"/>
          <w:lang w:val="pt-BR"/>
        </w:rPr>
        <w:t xml:space="preserve">, </w:t>
      </w:r>
      <w:r>
        <w:rPr>
          <w:rFonts w:cs="Calibri" w:ascii="Calibri" w:hAnsi="Calibri"/>
          <w:i/>
          <w:iCs/>
          <w:lang w:val="pt-BR"/>
        </w:rPr>
        <w:t>25</w:t>
      </w:r>
      <w:r>
        <w:rPr>
          <w:rFonts w:cs="Calibri" w:ascii="Calibri" w:hAnsi="Calibri"/>
          <w:lang w:val="pt-BR"/>
        </w:rPr>
        <w:t>(2), 123–143. https://doi.org/10.1086/209531</w:t>
      </w:r>
    </w:p>
    <w:p>
      <w:pPr>
        <w:pStyle w:val="Bibliography"/>
        <w:rPr>
          <w:rFonts w:ascii="Calibri" w:hAnsi="Calibri" w:cs="Calibri"/>
        </w:rPr>
      </w:pPr>
      <w:r>
        <w:rPr>
          <w:rFonts w:cs="Calibri" w:ascii="Calibri" w:hAnsi="Calibri"/>
          <w:lang w:val="pt-BR"/>
        </w:rPr>
        <w:t xml:space="preserve">Morozov, E. (2018). </w:t>
      </w:r>
      <w:r>
        <w:rPr>
          <w:rFonts w:cs="Calibri" w:ascii="Calibri" w:hAnsi="Calibri"/>
          <w:i/>
          <w:iCs/>
          <w:lang w:val="pt-BR"/>
        </w:rPr>
        <w:t>Big Tech: A ascensão dos dados e a morte da política</w:t>
      </w:r>
      <w:r>
        <w:rPr>
          <w:rFonts w:cs="Calibri" w:ascii="Calibri" w:hAnsi="Calibri"/>
          <w:lang w:val="pt-BR"/>
        </w:rPr>
        <w:t xml:space="preserve"> (1</w:t>
      </w:r>
      <w:r>
        <w:rPr>
          <w:rFonts w:cs="Calibri" w:ascii="Calibri" w:hAnsi="Calibri"/>
          <w:vertAlign w:val="superscript"/>
          <w:lang w:val="pt-BR"/>
        </w:rPr>
        <w:t>a</w:t>
      </w:r>
      <w:r>
        <w:rPr>
          <w:rFonts w:cs="Calibri" w:ascii="Calibri" w:hAnsi="Calibri"/>
          <w:lang w:val="pt-BR"/>
        </w:rPr>
        <w:t xml:space="preserve"> edição). </w:t>
      </w:r>
      <w:r>
        <w:rPr>
          <w:rFonts w:cs="Calibri" w:ascii="Calibri" w:hAnsi="Calibri"/>
        </w:rPr>
        <w:t>Ubu Editora.</w:t>
      </w:r>
    </w:p>
    <w:p>
      <w:pPr>
        <w:pStyle w:val="Bibliography"/>
        <w:rPr>
          <w:rFonts w:ascii="Calibri" w:hAnsi="Calibri" w:cs="Calibri"/>
        </w:rPr>
      </w:pPr>
      <w:r>
        <w:rPr>
          <w:rFonts w:cs="Calibri" w:ascii="Calibri" w:hAnsi="Calibri"/>
        </w:rPr>
        <w:t xml:space="preserve">Shaw, A. (2017). Encoding and decoding affordances: Stuart Hall and interactive media technologies. </w:t>
      </w:r>
      <w:r>
        <w:rPr>
          <w:rFonts w:cs="Calibri" w:ascii="Calibri" w:hAnsi="Calibri"/>
          <w:i/>
          <w:iCs/>
        </w:rPr>
        <w:t>Media, Culture &amp; Society</w:t>
      </w:r>
      <w:r>
        <w:rPr>
          <w:rFonts w:cs="Calibri" w:ascii="Calibri" w:hAnsi="Calibri"/>
        </w:rPr>
        <w:t xml:space="preserve">, </w:t>
      </w:r>
      <w:r>
        <w:rPr>
          <w:rFonts w:cs="Calibri" w:ascii="Calibri" w:hAnsi="Calibri"/>
          <w:i/>
          <w:iCs/>
        </w:rPr>
        <w:t>39</w:t>
      </w:r>
      <w:r>
        <w:rPr>
          <w:rFonts w:cs="Calibri" w:ascii="Calibri" w:hAnsi="Calibri"/>
        </w:rPr>
        <w:t>(4), 592–602. https://doi.org/10.1177/0163443717692741</w:t>
      </w:r>
    </w:p>
    <w:p>
      <w:pPr>
        <w:pStyle w:val="Normal"/>
        <w:spacing w:before="0" w:after="160"/>
        <w:rPr>
          <w:lang w:val="pt-BR"/>
        </w:rPr>
      </w:pPr>
      <w:r/>
      <w:r>
        <w:rPr>
          <w:lang w:val="pt-BR"/>
        </w:rPr>
        <w:fldChar w:fldCharType="end"/>
      </w:r>
      <w:r>
        <w:rPr>
          <w:lang w:val="pt-BR"/>
        </w:rPr>
      </w:r>
    </w:p>
    <w:sectPr>
      <w:headerReference w:type="even" r:id="rId4"/>
      <w:headerReference w:type="default" r:id="rId5"/>
      <w:headerReference w:type="first" r:id="rId6"/>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pt-BR"/>
      </w:rPr>
    </w:pPr>
    <w:r>
      <w:rPr>
        <w:lang w:val="pt-B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pt-BR"/>
      </w:rPr>
    </w:pPr>
    <w:r>
      <w:rPr>
        <w:lang w:val="pt-B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US" w:eastAsia="en-US" w:bidi="ar-SA"/>
      <w14:ligatures w14:val="standardContextual"/>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8e0afa"/>
    <w:rPr/>
  </w:style>
  <w:style w:type="character" w:styleId="FooterChar" w:customStyle="1">
    <w:name w:val="Footer Char"/>
    <w:basedOn w:val="DefaultParagraphFont"/>
    <w:link w:val="Footer"/>
    <w:uiPriority w:val="99"/>
    <w:qFormat/>
    <w:rsid w:val="008e0afa"/>
    <w:rPr/>
  </w:style>
  <w:style w:type="character" w:styleId="Hyperlink">
    <w:name w:val="Hyperlink"/>
    <w:basedOn w:val="DefaultParagraphFont"/>
    <w:uiPriority w:val="99"/>
    <w:unhideWhenUsed/>
    <w:rsid w:val="008e0afa"/>
    <w:rPr>
      <w:color w:themeColor="hyperlink" w:val="0563C1"/>
      <w:u w:val="single"/>
    </w:rPr>
  </w:style>
  <w:style w:type="character" w:styleId="UnresolvedMention">
    <w:name w:val="Unresolved Mention"/>
    <w:basedOn w:val="DefaultParagraphFont"/>
    <w:uiPriority w:val="99"/>
    <w:semiHidden/>
    <w:unhideWhenUsed/>
    <w:qFormat/>
    <w:rsid w:val="008e0af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8e0afa"/>
    <w:pPr>
      <w:tabs>
        <w:tab w:val="clear" w:pos="720"/>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8e0afa"/>
    <w:pPr>
      <w:tabs>
        <w:tab w:val="clear" w:pos="720"/>
        <w:tab w:val="center" w:pos="4419" w:leader="none"/>
        <w:tab w:val="right" w:pos="8838" w:leader="none"/>
      </w:tabs>
      <w:spacing w:lineRule="auto" w:line="240" w:before="0" w:after="0"/>
    </w:pPr>
    <w:rPr/>
  </w:style>
  <w:style w:type="paragraph" w:styleId="Bibliography">
    <w:name w:val="Bibliography"/>
    <w:basedOn w:val="Normal"/>
    <w:next w:val="Normal"/>
    <w:uiPriority w:val="37"/>
    <w:unhideWhenUsed/>
    <w:qFormat/>
    <w:rsid w:val="00450b92"/>
    <w:pPr>
      <w:spacing w:lineRule="auto" w:line="480" w:before="0" w:after="0"/>
      <w:ind w:hanging="720" w:star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o-que-significar-viver-no-mundo-que-o-imac-criou/" TargetMode="External"/><Relationship Id="rId3" Type="http://schemas.openxmlformats.org/officeDocument/2006/relationships/hyperlink" Target="https://www.estadao.com.br/link/pedro-doria/imac-g3-25-ano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TotalTime>
  <Application>LibreOffice/26.2.3.2$Linux_X86_64 LibreOffice_project/7d74455cffae7a589951233f185ae0303c082020</Application>
  <AppVersion>15.0000</AppVersion>
  <Pages>4</Pages>
  <Words>1033</Words>
  <Characters>5770</Characters>
  <CharactersWithSpaces>6789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2023-08-19T13:37:00Z</dcterms:created>
  <dc:creator>Lucas Busani Xavier</dc:creator>
  <dc:description/>
  <dc:language>en-CA</dc:language>
  <cp:lastModifiedBy/>
  <dcterms:modified xsi:type="dcterms:W3CDTF">2026-06-01T14:55:06Z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id="mprS9Hk1"/&gt;&lt;style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