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lang w:val="pt-BR"/>
        </w:rPr>
      </w:pPr>
      <w:r>
        <w:rPr>
          <w:b/>
          <w:bCs/>
          <w:lang w:val="pt-BR"/>
        </w:rPr>
        <w:t>Videogames: para o bem ou para o mal?</w:t>
      </w:r>
    </w:p>
    <w:p>
      <w:pPr>
        <w:pStyle w:val="Normal"/>
        <w:rPr>
          <w:lang w:val="pt-BR"/>
        </w:rPr>
      </w:pPr>
      <w:r>
        <w:rPr>
          <w:lang w:val="pt-BR"/>
        </w:rPr>
        <w:t xml:space="preserve">Publicação Original: </w:t>
      </w:r>
      <w:hyperlink r:id="rId2">
        <w:r>
          <w:rPr>
            <w:rStyle w:val="Hyperlink"/>
            <w:lang w:val="pt-BR"/>
          </w:rPr>
          <w:t>https://www.estadao.com.br/politica/gestao-politica-e-sociedade/videogames-para-o-bem-ou-para-o-mal/</w:t>
        </w:r>
      </w:hyperlink>
      <w:r>
        <w:rPr>
          <w:lang w:val="pt-BR"/>
        </w:rPr>
        <w:t xml:space="preserve"> </w:t>
        <w:br/>
        <w:t>Data: 19/04/2023 | 19h29</w:t>
      </w:r>
    </w:p>
    <w:p>
      <w:pPr>
        <w:pStyle w:val="Normal"/>
        <w:rPr>
          <w:lang w:val="pt-BR"/>
        </w:rPr>
      </w:pPr>
      <w:r>
        <w:rPr>
          <w:lang w:val="pt-BR"/>
        </w:rPr>
        <w:t xml:space="preserve">Depois dos violentos ataques às escolas presenciados recentemente, mais uma vez vimos o embate entre oportunistas e moralistas buscando nos videogames uma saída fácil para trazer soluções que nada resolvem, enquanto membros da comunidade e influenciadores gamers defendiam a unhas e dentes seus jogos prediletos, mas também com pouca desenvoltura. Para encerrar com chave de ouro, o presidente Lula soltou ontem – mais uma vez – </w:t>
      </w:r>
      <w:hyperlink r:id="rId3">
        <w:r>
          <w:rPr>
            <w:rStyle w:val="Hyperlink"/>
            <w:lang w:val="pt-BR"/>
          </w:rPr>
          <w:t>uma fala desastrosa, dessa vez tomando o lado do moralismo raso culpabilizando os jogos pela violência que se espalha entre a juventude brasileira</w:t>
        </w:r>
      </w:hyperlink>
      <w:r>
        <w:rPr>
          <w:lang w:val="pt-BR"/>
        </w:rPr>
        <w:t>. Poucos foram aqueles que trouxeram a discussão de forma crítica e profunda, e aqueles que o fizeram costumar ter menos visibilidade do que discursos mais bombásticos. Meu objetivo, aqui, é tentar aprofundar um pouco mais a discussão.</w:t>
      </w:r>
    </w:p>
    <w:p>
      <w:pPr>
        <w:pStyle w:val="Normal"/>
        <w:rPr>
          <w:lang w:val="pt-BR"/>
        </w:rPr>
      </w:pPr>
      <w:r>
        <w:rPr>
          <w:lang w:val="pt-BR"/>
        </w:rPr>
      </w:r>
    </w:p>
    <w:p>
      <w:pPr>
        <w:pStyle w:val="Normal"/>
        <w:rPr>
          <w:lang w:val="pt-BR"/>
        </w:rPr>
      </w:pPr>
      <w:r>
        <w:rPr>
          <w:lang w:val="pt-BR"/>
        </w:rPr>
        <w:t>O pânico moral ao qual o presidente se inseriu é interessante – e preocupante – porque permeia tanto discussões conservadoras quanto progressistas, mas se encontra claramente mais forte dentro de alguns grupos geracionais que não cresceram com videogames a mão. O argumento não é nada novo: essa tal mídia nova a qual desconhecemos e fazemos questão de não entender é estranha, violenta, chula, perigosa e deve ser regulada com mão firme.</w:t>
      </w:r>
    </w:p>
    <w:p>
      <w:pPr>
        <w:pStyle w:val="Normal"/>
        <w:rPr>
          <w:lang w:val="pt-BR"/>
        </w:rPr>
      </w:pPr>
      <w:r>
        <w:rPr>
          <w:lang w:val="pt-BR"/>
        </w:rPr>
      </w:r>
    </w:p>
    <w:p>
      <w:pPr>
        <w:pStyle w:val="Normal"/>
        <w:rPr>
          <w:lang w:val="pt-BR"/>
        </w:rPr>
      </w:pPr>
      <w:r>
        <w:rPr>
          <w:lang w:val="pt-BR"/>
        </w:rPr>
        <w:t>Do outro lado fãs de videogames se opõem a tal questão, mas, mais interessante ainda, defendem videogames como meios de promoção de aprendizados diversos, fomento de conexões sociais, experiências únicas e tantas outras coisas boas. Também não podemos esquecer de como games tem sido cada vez mais usados em contextos de negócios e marketing, por meio da gamificação: usando elementos de jogos em ambientes de não jogo, ações gamificadas prometem – e algumas vezes entregam – engajamento com marcas, vendas, mudança de comportamento de funcionários, integração de equipes, dentre outros. Ora, se games são capazes de influenciar o comportamento das pessoas, interações sociais e até mesmo de ensinar de maneira positiva, por que não negativa?</w:t>
      </w:r>
    </w:p>
    <w:p>
      <w:pPr>
        <w:pStyle w:val="Normal"/>
        <w:rPr>
          <w:lang w:val="pt-BR"/>
        </w:rPr>
      </w:pPr>
      <w:r>
        <w:rPr>
          <w:lang w:val="pt-BR"/>
        </w:rPr>
      </w:r>
    </w:p>
    <w:p>
      <w:pPr>
        <w:pStyle w:val="Normal"/>
        <w:rPr>
          <w:lang w:val="pt-BR"/>
        </w:rPr>
      </w:pPr>
      <w:r>
        <w:rPr>
          <w:lang w:val="pt-BR"/>
        </w:rPr>
        <w:t>Ou melhor: se videogames podem ser usados para o bem, por que não para o mal?</w:t>
      </w:r>
    </w:p>
    <w:p>
      <w:pPr>
        <w:pStyle w:val="Normal"/>
        <w:rPr>
          <w:lang w:val="pt-BR"/>
        </w:rPr>
      </w:pPr>
      <w:r>
        <w:rPr>
          <w:lang w:val="pt-BR"/>
        </w:rPr>
      </w:r>
    </w:p>
    <w:p>
      <w:pPr>
        <w:pStyle w:val="Normal"/>
        <w:rPr>
          <w:lang w:val="pt-BR"/>
        </w:rPr>
      </w:pPr>
      <w:r>
        <w:rPr>
          <w:lang w:val="pt-BR"/>
        </w:rPr>
        <w:t>A resposta simples seria que eles obviamente podem servir propósitos distintos, e gerar resultados antagônicos dependendo de seu conteúdo. Mas, como toda resposta simples, ela também é uma resposta que relativiza a mídia a ponto de minar qualquer análise crítica sobre o assunto. Além disso, muitas vezes o extremismo e violências fomentados dentro de comunidades gamers se dá mais pelos agrupamentos formados ao redor dos games, suas culturas e suas práticas, do que única e diretamente ligados aos jogos.</w:t>
      </w:r>
    </w:p>
    <w:p>
      <w:pPr>
        <w:pStyle w:val="Normal"/>
        <w:rPr>
          <w:lang w:val="pt-BR"/>
        </w:rPr>
      </w:pPr>
      <w:r>
        <w:rPr>
          <w:lang w:val="pt-BR"/>
        </w:rPr>
      </w:r>
    </w:p>
    <w:p>
      <w:pPr>
        <w:pStyle w:val="Normal"/>
        <w:rPr>
          <w:lang w:val="pt-BR"/>
        </w:rPr>
      </w:pPr>
      <w:r>
        <w:rPr>
          <w:lang w:val="pt-BR"/>
        </w:rPr>
        <w:t xml:space="preserve">Uma lente que acredito ser capaz de analisar objetos culturais e tecnológicos complexos como é o caso dos videogames, é a partir da Teoria das Affordances. Cunhada dentro da psicologia ambientalista, affordances podem ser entendidas como possibilidades de ações que um ambiente delimita para dado indivíduo </w:t>
      </w:r>
      <w:r>
        <w:fldChar w:fldCharType="begin"/>
      </w:r>
      <w:r>
        <w:rPr>
          <w:lang w:val="pt-BR"/>
        </w:rPr>
        <w:instrText xml:space="preserve">ADDIN ZOTERO_ITEM CSL_CITATION {"citationID":"fRqmk0c8","properties":{"formattedCitation":"(Gibson, 2014)","plainCitation":"(Gibson, 2014)","noteIndex":0},"citationItems":[{"id":199,"uris":["http://zotero.org/users/7863797/items/Q8CJJAN6"],"itemData":{"id":199,"type":"book","abstract":"This book, first published in 1979, is about how we see: the environment around us (its surfaces, their layout, and their colors and textures); where we are in the environment; whether or not we are moving and, if we are, where we are going; what things are good for; how to do things (to thread a needle or drive an automobile); or why things look as they do. \nThe basic assumption is that vision depends on the eye which is connected to the brain. The author suggests that natural vision depends on the eyes in the head on a body supported by the ground, the brain being only the central organ of a complete visual system. When no constraints are put on the visual system, people look around, walk up to something interesting and move around it so as to see it from all sides, and go from one vista to another. That is natural vision -- and what this book is about.","event-place":"New York","ISBN":"978-1-315-74021-8","note":"DOI: 10.4324/9781315740218","number-of-pages":"346","publisher":"Psychology Press","publisher-place":"New York","title":"The Ecological Approach to Visual Perception: Classic Edition","title-short":"The Ecological Approach to Visual Perception","author":[{"family":"Gibson","given":"James J."}],"issued":{"date-parts":[["2014",12,5]]}}}],"schema":"https://github.com/citation-style-language/schema/raw/master/csl-citation.json"}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(Gibson, 2014)</w:t>
      </w:r>
      <w:r>
        <w:rPr>
          <w:lang w:val="pt-BR"/>
        </w:rPr>
      </w:r>
      <w:r>
        <w:rPr>
          <w:lang w:val="pt-BR"/>
        </w:rPr>
        <w:fldChar w:fldCharType="end"/>
      </w:r>
      <w:r>
        <w:rPr>
          <w:lang w:val="pt-BR"/>
        </w:rPr>
        <w:t xml:space="preserve">. Para além de seu campo original, em estudos de interação humano-tecnologia, uma affordance é um atributo material que enquadra o comportamento humano </w:t>
      </w:r>
      <w:r>
        <w:fldChar w:fldCharType="begin"/>
      </w:r>
      <w:r>
        <w:rPr>
          <w:lang w:val="pt-BR"/>
        </w:rPr>
        <w:instrText xml:space="preserve">ADDIN ZOTERO_ITEM CSL_CITATION {"citationID":"8PIInUjF","properties":{"formattedCitation":"(Hutchby, 2001)","plainCitation":"(Hutchby, 2001)","noteIndex":0},"citationItems":[{"id":1068,"uris":["http://zotero.org/users/7863797/items/XXGUSMIE"],"itemData":{"id":1068,"type":"article-journal","abstract":"In contrast to recent sociological emphases on the social shaping of technology, this article proposes and illustrates a way of analysing the technological shaping of sociality. Drawing on the concept of affordances (Gibson 1979), the article argues for a recognition of the constraining, as well as enabling, materiality of artefacts. The argument is set in the theoretical context of one of the most recent and comprehensive statements of anti-essentialism (Grint and Woolgar 1997). The position is illustrated through a reinterpretation of some case studies used by proponents of the radical constructivist position.","container-title":"Sociology","DOI":"10.1177/S0038038501000219","ISSN":"0038-0385, 1469-8684","issue":"2","journalAbbreviation":"Sociology","language":"en","page":"441-456","source":"DOI.org (Crossref)","title":"Technologies, Texts and Affordances","URL":"http://journals.sagepub.com/doi/10.1177/S0038038501000219","volume":"35","author":[{"family":"Hutchby","given":"Ian"}],"accessed":{"date-parts":[["2022",3,23]]},"issued":{"date-parts":[["2001",5]]}}}],"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(Hutchby, 2001)</w:t>
      </w:r>
      <w:r>
        <w:rPr>
          <w:lang w:val="pt-BR"/>
        </w:rPr>
      </w:r>
      <w:r>
        <w:rPr>
          <w:lang w:val="pt-BR"/>
        </w:rPr>
        <w:fldChar w:fldCharType="end"/>
      </w:r>
      <w:r>
        <w:rPr>
          <w:lang w:val="pt-BR"/>
        </w:rPr>
        <w:t xml:space="preserve">. Ou seja, em vez de entendermos objetos tecnológicos e midiáticos como determinadores do nosso comportamento em relação a eles, analisamos suas qualidades materiais como requisitantes, demandantes, encorajadoras, desencorajadoras, recusantes ou permissivas para uma certa gama de ações </w:t>
      </w:r>
      <w:r>
        <w:fldChar w:fldCharType="begin"/>
      </w:r>
      <w:r>
        <w:rPr>
          <w:lang w:val="pt-BR"/>
        </w:rPr>
        <w:instrText xml:space="preserve">ADDIN ZOTERO_ITEM CSL_CITATION {"citationID":"33wAuiJp","properties":{"formattedCitation":"(Davis &amp; Chouinard, 2016)","plainCitation":"(Davis &amp; Chouinard, 2016)","noteIndex":0},"citationItems":[{"id":1073,"uris":["http://zotero.org/users/7863797/items/KHFNFCSE"],"itemData":{"id":1073,"type":"article-journal","abstract":"As a concept, affordance is integral to scholarly analysis across multiple fields—including media studies, science and technology studies, communication studies, ecological psychology, and design studies among others. Critics, however, rightly point to the following shortcomings: definitional confusion, a false binary in which artifacts either afford or do not, and failure to account for diverse subject-artifact relations. Addressing these critiques, this article demarcates the mechanisms of affordance—as artifacts request, demand, allow, encourage, discourage, and refuse—which take shape through interrelated conditions: perception, dexterity, and cultural and institutional legitimacy. Together, the mechanisms and conditions constitute a dynamic and structurally situated model that addresses how artifacts afford, for whom and under what circumstances.","container-title":"Bulletin of Science, Technology &amp; Society","DOI":"10.1177/0270467617714944","ISSN":"0270-4676, 1552-4183","issue":"4","journalAbbreviation":"Bulletin of Science, Technology &amp; Society","language":"en","page":"241-248","source":"DOI.org (Crossref)","title":"Theorizing Affordances: From Request to Refuse","title-short":"Theorizing Affordances","URL":"http://journals.sagepub.com/doi/10.1177/0270467617714944","volume":"36","author":[{"family":"Davis","given":"Jenny L."},{"family":"Chouinard","given":"James B."}],"accessed":{"date-parts":[["2022",3,23]]},"issued":{"date-parts":[["2016",12]]}}}],"schema":"https://github.com/citation-style-language/schema/raw/master/csl-citation.json"}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(Davis &amp; Chouinard, 2016)</w:t>
      </w:r>
      <w:r>
        <w:rPr>
          <w:lang w:val="pt-BR"/>
        </w:rPr>
      </w:r>
      <w:r>
        <w:rPr>
          <w:lang w:val="pt-BR"/>
        </w:rPr>
        <w:fldChar w:fldCharType="end"/>
      </w:r>
      <w:r>
        <w:rPr>
          <w:lang w:val="pt-BR"/>
        </w:rPr>
        <w:t xml:space="preserve">. Não só isso, affordances muitas vezes são construídas também a partir das relações sociais </w:t>
      </w:r>
      <w:r>
        <w:fldChar w:fldCharType="begin"/>
      </w:r>
      <w:r>
        <w:rPr>
          <w:lang w:val="pt-BR"/>
        </w:rPr>
        <w:instrText xml:space="preserve">ADDIN ZOTERO_ITEM CSL_CITATION {"citationID":"4xqWg0wQ","properties":{"formattedCitation":"(Schmidt, 2007)","plainCitation":"(Schmidt, 2007)","noteIndex":0},"citationItems":[{"id":255,"uris":["http://zotero.org/users/7863797/items/XPVWL9JH"],"itemData":{"id":255,"type":"article-journal","container-title":"Ecological Psychology","DOI":"https://doi.org/10.1080/10407410701332064","issue":"2","language":"en","page":"137-151","source":"Zotero","title":"Scaffolds for Social Meaning","volume":"19","author":[{"family":"Schmidt","given":"R C"}],"issued":{"date-parts":[["2007"]]}}}],"schema":"https://github.com/citation-style-language/schema/raw/master/csl-citation.json"}</w:instrText>
      </w:r>
      <w:r>
        <w:rPr>
          <w:lang w:val="pt-BR"/>
        </w:rPr>
      </w:r>
      <w:r>
        <w:rPr>
          <w:lang w:val="pt-BR"/>
        </w:rPr>
        <w:fldChar w:fldCharType="separate"/>
      </w:r>
      <w:r>
        <w:rPr>
          <w:lang w:val="pt-BR"/>
        </w:rPr>
      </w:r>
      <w:r>
        <w:rPr>
          <w:rFonts w:cs="Calibri" w:ascii="Calibri" w:hAnsi="Calibri"/>
          <w:lang w:val="pt-BR"/>
        </w:rPr>
        <w:t>(Schmidt, 2007)</w:t>
      </w:r>
      <w:r>
        <w:rPr>
          <w:lang w:val="pt-BR"/>
        </w:rPr>
      </w:r>
      <w:r>
        <w:rPr>
          <w:lang w:val="pt-BR"/>
        </w:rPr>
        <w:fldChar w:fldCharType="end"/>
      </w:r>
      <w:r>
        <w:rPr>
          <w:lang w:val="pt-BR"/>
        </w:rPr>
        <w:t xml:space="preserve">, assim como de nossa imaginação </w:t>
      </w:r>
      <w:r>
        <w:fldChar w:fldCharType="begin"/>
      </w:r>
      <w:r>
        <w:rPr>
          <w:lang w:val="pt-BR"/>
        </w:rPr>
        <w:instrText xml:space="preserve">ADDIN ZOTERO_ITEM CSL_CITATION {"citationID":"lN8OsHjY","properties":{"formattedCitation":"(Nagy &amp; Neff, 2015)","plainCitation":"(Nagy &amp; Neff, 2015)","noteIndex":0},"citationItems":[{"id":259,"uris":["http://zotero.org/users/7863797/items/5B9KS8HH"],"itemData":{"id":259,"type":"article-journal","abstract":"In this essay, we reconstruct a keyword for communication—affordance. Affordance, adopted from ecological psychology, is now widely used in technology studies, yet the term lacks a clear definition. This is especially problematic for scholars grappling with how to theorize the relationship between technology and sociality for complex socio-technical systems such as machine-learning algorithms, pervasive computing, the Internet of Things, and other such “smart” innovations. Within technology studies, emerging theories of materiality, affect, and mediation all necessitate a richer and more nuanced definition for affordance than the field currently uses. To solve this, we develop the concept of imagined affordance. Imagined affordances emerge between users’ perceptions, attitudes, and expectations; between the materiality and functionality of technologies; and between the intentions and perceptions of designers. We use imagined affordance to evoke the importance of imagination in affordances—expectations for technology that are not fully realized in conscious, rational knowledge. We also use imagined affordance to distinguish our process-oriented, socio-technical definition of affordance from the “imagined” consensus of the field around a flimsier use of the term. We also use it in order to better capture the importance of mediation, materiality, and affect. We suggest that imagined affordance helps to theorize the duality of materiality and communication technology: namely, that people shape their media environments, perceive them, and have agency within them because of imagined affordances.","container-title":"Social Media + Society","DOI":"10.1177/2056305115603385","ISSN":"2056-3051, 2056-3051","issue":"2","journalAbbreviation":"Social Media + Society","language":"en","page":"205630511560338","source":"DOI.org (Crossref)","title":"Imagined Affordance: Reconstructing a Keyword for Communication Theory","title-short":"Imagined Affordance","URL":"http://journals.sagepub.com/doi/10.1177/2056305115603385","volume":"1","author":[{"family":"Nagy","given":"Peter"},{"family":"Neff","given":"Gina"}],"accessed":{"date-parts":[["2022",2,24]]},"issued":{"date-parts":[["2015",7,1]]}}}],"schema":"https://github.com/citation-style-language/schema/raw/master/csl-citation.json"}</w:instrText>
      </w:r>
      <w:r>
        <w:rPr>
          <w:lang w:val="pt-BR"/>
        </w:rPr>
      </w:r>
      <w:r>
        <w:rPr>
          <w:lang w:val="pt-BR"/>
        </w:rPr>
        <w:fldChar w:fldCharType="separate"/>
      </w:r>
      <w:r>
        <w:rPr>
          <w:lang w:val="pt-BR"/>
        </w:rPr>
      </w:r>
      <w:r>
        <w:rPr>
          <w:rFonts w:cs="Calibri" w:ascii="Calibri" w:hAnsi="Calibri"/>
        </w:rPr>
        <w:t>(Nagy &amp; Neff, 2015)</w:t>
      </w:r>
      <w:r>
        <w:rPr>
          <w:lang w:val="pt-BR"/>
        </w:rPr>
      </w:r>
      <w:r>
        <w:rPr>
          <w:lang w:val="pt-BR"/>
        </w:rPr>
        <w:fldChar w:fldCharType="end"/>
      </w:r>
      <w:r>
        <w:rPr>
          <w:lang w:val="pt-BR"/>
        </w:rPr>
        <w:t>.</w:t>
      </w:r>
    </w:p>
    <w:p>
      <w:pPr>
        <w:pStyle w:val="Normal"/>
        <w:rPr>
          <w:lang w:val="pt-BR"/>
        </w:rPr>
      </w:pPr>
      <w:r>
        <w:rPr>
          <w:lang w:val="pt-BR"/>
        </w:rPr>
      </w:r>
    </w:p>
    <w:p>
      <w:pPr>
        <w:pStyle w:val="Normal"/>
        <w:rPr>
          <w:lang w:val="pt-BR"/>
        </w:rPr>
      </w:pPr>
      <w:r>
        <w:rPr>
          <w:lang w:val="pt-BR"/>
        </w:rPr>
        <w:t>Um exemplo prático, dentro do universo de jogos e com relação à violência, pode ser encontrado no grande sucesso indie Undertale (2015). Em todo e qualquer combate nesse jogo, o jogador pode tanto lutar e derrotar os inimigos, como dialogar com eles e terminar o combate sem realizar nem um único ataque. A possibilidade é dada ao jogador, que então age sobre ela. A mecânica vai além dos embates, e afeta a narrativa de jogo a medida em que o jogador passa a criar amizades e consegue desbloquear um final secreto. A subversão do jogo na relação entre jogador e inimigos em RPGs clássicos torna o jogo não apenas único e interessante, uma vez que a maioria dos jogadores pode não esperar que o diálogo seja uma possibilidade de ação – affordances (não) imaginadas –, como também elucida a capacidade de jogos de apresentarem possibilidades de ação múltiplas em relação a sua violência.</w:t>
      </w:r>
    </w:p>
    <w:p>
      <w:pPr>
        <w:pStyle w:val="Normal"/>
        <w:rPr>
          <w:lang w:val="pt-BR"/>
        </w:rPr>
      </w:pPr>
      <w:r>
        <w:rPr>
          <w:lang w:val="pt-BR"/>
        </w:rPr>
      </w:r>
    </w:p>
    <w:p>
      <w:pPr>
        <w:pStyle w:val="Normal"/>
        <w:rPr>
          <w:lang w:val="pt-BR"/>
        </w:rPr>
      </w:pPr>
      <w:r>
        <w:rPr>
          <w:lang w:val="pt-BR"/>
        </w:rPr>
        <w:t>Não podemos, porém, relativizar os jogos ao extremo, atribuindo a eles uma posição puramente neutra de possibilidades disponíveis às quais jogadores distintos interpretam e realizam à sua própria vontade e agência. Os enquadramentos das possibilidades de ação podem ser implementados com diferentes pesos, e isso é sempre por design. Por exemplo, no mesmo Undertale, por mais que seja difícil finalizar os combates apenas com diálogo, exigindo destreza do jogador, a premiação por jogar dessa forma é extremamente valiosa. Assim, o jogo não apenas dá a possibilidade, como encoraja que ela seja realizada. Da mesma forma, jogos violentos podem encorajar jogadores a abordarem sua violência de maneira alienante ou crítica.</w:t>
      </w:r>
    </w:p>
    <w:p>
      <w:pPr>
        <w:pStyle w:val="Normal"/>
        <w:rPr>
          <w:lang w:val="pt-BR"/>
        </w:rPr>
      </w:pPr>
      <w:r>
        <w:rPr>
          <w:lang w:val="pt-BR"/>
        </w:rPr>
      </w:r>
    </w:p>
    <w:p>
      <w:pPr>
        <w:pStyle w:val="Normal"/>
        <w:rPr>
          <w:lang w:val="pt-BR"/>
        </w:rPr>
      </w:pPr>
      <w:r>
        <w:rPr>
          <w:lang w:val="pt-BR"/>
        </w:rPr>
        <w:t xml:space="preserve">Em Nier (2010) – relançado em versão remasterizada como Nier: Replicant ver. 1.22474487139... em 2021 –, o jogador passa metade do jogo aniquilando centenas de sombras (shades), monstros feitos de fumaça escura. Além de serem o inimigo padrão do jogo, o personagem principal tem um enorme ódio pelas sombras, e as culpa pelos males que afligem o mundo pós apocalíptico do jogo. É apenas na metade do jogo que o jogador descobre que essas sombras são, na verdade, almas perdidas de humanos, que os personagens principais são replicantes – algo entre ciborgues e homúnculos – cujos corpos deveria ter virado o receptáculo dessas almas humanas, mas acabaram criando consciência própria. A descoberta, porém, é apenas do jogador, e não do personagem, e assim o jogo segue obrigando o jogador a continuar matando inúmeras sombras, almas humanas. </w:t>
      </w:r>
    </w:p>
    <w:p>
      <w:pPr>
        <w:pStyle w:val="Normal"/>
        <w:rPr>
          <w:lang w:val="pt-BR"/>
        </w:rPr>
      </w:pPr>
      <w:r>
        <w:rPr>
          <w:lang w:val="pt-BR"/>
        </w:rPr>
      </w:r>
    </w:p>
    <w:p>
      <w:pPr>
        <w:pStyle w:val="Normal"/>
        <w:rPr>
          <w:lang w:val="pt-BR"/>
        </w:rPr>
      </w:pPr>
      <w:r>
        <w:rPr>
          <w:lang w:val="pt-BR"/>
        </w:rPr>
        <w:t xml:space="preserve">Através da violência, o jogo tenta evocar reflexões e sentimentos que passam longe do ódio. Como o próprio criador </w:t>
      </w:r>
      <w:hyperlink r:id="rId4">
        <w:r>
          <w:rPr>
            <w:rStyle w:val="Hyperlink"/>
            <w:lang w:val="pt-BR"/>
          </w:rPr>
          <w:t>Yoko Taro contou, a série Nier tem como objetivo mostrar como conflitos armados fundamentados em ódio muitas vezes tem origem na falta de reconhecimento do outro e de formas de comunicação entre os grupos em conflito</w:t>
        </w:r>
      </w:hyperlink>
      <w:r>
        <w:rPr>
          <w:lang w:val="pt-BR"/>
        </w:rPr>
        <w:t>. Enquanto outras mídias também já abordaram tal assunto, o videogame traz uma oportunidade única de colocar o jogador em controle do personagem no combate, mas não em controle suficiente para evitar a continuação da matança. Não é apenas ver o ódio corroendo um personagem e uma história sangrenta se desenrolar, é estar em comando desse personagem ao mesmo tempo em que não é possível fazer nada a respeito.</w:t>
      </w:r>
    </w:p>
    <w:p>
      <w:pPr>
        <w:pStyle w:val="Normal"/>
        <w:rPr>
          <w:lang w:val="pt-BR"/>
        </w:rPr>
      </w:pPr>
      <w:r>
        <w:rPr>
          <w:lang w:val="pt-BR"/>
        </w:rPr>
      </w:r>
    </w:p>
    <w:p>
      <w:pPr>
        <w:pStyle w:val="Normal"/>
        <w:rPr>
          <w:lang w:val="pt-BR"/>
        </w:rPr>
      </w:pPr>
      <w:r>
        <w:rPr>
          <w:lang w:val="pt-BR"/>
        </w:rPr>
        <w:t>Ambos os exemplos são, obviamente, implementações de mecânicas e narrativas que usam da violência para criticá-la, mas nem todos os jogos são assim. Abdicar, tanto da perspectiva de que videogames como determinantes do comportamento, como do relativismo raso de que games podem ser interpretados de infinitas maneiras, é entender que objetos tecnológicos e midiáticos são consumidos através de uma negociação agêntica entre indivíduo e objeto. Se de um lado o jogo enquadra de diferentes maneiras e intensidades as possibilidades de ação, do outro os jogadores agem sobre esses jogos através de suas próprias interpretações, imaginações e objetivos. O fomento – direto ou indireto, intrusivo ou não – de certos comportamentos e relações em jogos é responsabilidade dos jogos, enquanto a realização destes é de competência e responsabilização dos jogadores.</w:t>
      </w:r>
    </w:p>
    <w:p>
      <w:pPr>
        <w:pStyle w:val="Normal"/>
        <w:rPr>
          <w:lang w:val="pt-BR"/>
        </w:rPr>
      </w:pPr>
      <w:r>
        <w:rPr>
          <w:lang w:val="pt-BR"/>
        </w:rPr>
      </w:r>
    </w:p>
    <w:p>
      <w:pPr>
        <w:pStyle w:val="Normal"/>
        <w:rPr>
          <w:lang w:val="pt-BR"/>
        </w:rPr>
      </w:pPr>
      <w:r>
        <w:rPr>
          <w:lang w:val="pt-BR"/>
        </w:rPr>
        <w:t xml:space="preserve">Não é de hoje que sabemos da disseminação de ódio, misoginia, racismo e outros males dentro de comunidades gamers, mas é preciso entender se o papel dos games se situa nos ideais disseminados por essas comunidades, ou como fio condutor das relações entre esses indivíduos. Videogame são, afinal, meios poderosos pelos quais indivíduos se conectam e se comunicam. Mas também o são redes sociais, como o </w:t>
      </w:r>
      <w:hyperlink r:id="rId5">
        <w:r>
          <w:rPr>
            <w:rStyle w:val="Hyperlink"/>
            <w:lang w:val="pt-BR"/>
          </w:rPr>
          <w:t>Twitter que se nega a tomar providências, comunicando-se através de emojis de cocô</w:t>
        </w:r>
      </w:hyperlink>
      <w:r>
        <w:rPr>
          <w:lang w:val="pt-BR"/>
        </w:rPr>
        <w:t xml:space="preserve">. </w:t>
      </w:r>
    </w:p>
    <w:p>
      <w:pPr>
        <w:pStyle w:val="Normal"/>
        <w:rPr>
          <w:lang w:val="pt-BR"/>
        </w:rPr>
      </w:pPr>
      <w:r>
        <w:rPr>
          <w:lang w:val="pt-BR"/>
        </w:rPr>
      </w:r>
    </w:p>
    <w:p>
      <w:pPr>
        <w:pStyle w:val="Normal"/>
        <w:rPr>
          <w:lang w:val="pt-BR"/>
        </w:rPr>
      </w:pPr>
      <w:r>
        <w:rPr>
          <w:lang w:val="pt-BR"/>
        </w:rPr>
        <w:t xml:space="preserve">Se assim for, seriam os games o problema? Ou seriam os games meios pelos quais o problema prolifera, tal qual outras mídias e tecnologias? E se assim for, qual é o problema real que o pânico moral dos games encobre em sua retórica reducionista e rasa? Não sei dizer ao certo, mas </w:t>
      </w:r>
      <w:hyperlink r:id="rId6">
        <w:r>
          <w:rPr>
            <w:rStyle w:val="Hyperlink"/>
            <w:lang w:val="pt-BR"/>
          </w:rPr>
          <w:t>refleti recentemente neste mesmo blog sobre assuntos que, mesmo um pouco distantes, talvez apresente um caminho para responder tais questões</w:t>
        </w:r>
      </w:hyperlink>
      <w:r>
        <w:rPr>
          <w:lang w:val="pt-BR"/>
        </w:rPr>
        <w:t>.</w:t>
      </w:r>
    </w:p>
    <w:p>
      <w:pPr>
        <w:pStyle w:val="Normal"/>
        <w:rPr>
          <w:lang w:val="pt-BR"/>
        </w:rPr>
      </w:pPr>
      <w:r>
        <w:rPr>
          <w:lang w:val="pt-BR"/>
        </w:rPr>
      </w:r>
    </w:p>
    <w:p>
      <w:pPr>
        <w:pStyle w:val="Normal"/>
        <w:rPr>
          <w:b/>
          <w:bCs/>
          <w:lang w:val="pt-BR"/>
        </w:rPr>
      </w:pPr>
      <w:r>
        <w:rPr>
          <w:b/>
          <w:bCs/>
          <w:lang w:val="pt-BR"/>
        </w:rPr>
        <w:t>Referências</w:t>
      </w:r>
    </w:p>
    <w:p>
      <w:pPr>
        <w:pStyle w:val="Bibliography"/>
        <w:rPr>
          <w:rFonts w:ascii="Calibri" w:hAnsi="Calibri" w:cs="Calibri"/>
        </w:rPr>
      </w:pPr>
      <w:r>
        <w:fldChar w:fldCharType="begin"/>
      </w:r>
      <w:r>
        <w:rPr>
          <w:lang w:val="pt-BR"/>
        </w:rPr>
        <w:instrText xml:space="preserve">ADDIN ZOTERO_BIBL {"uncited":[],"omitted":[],"custom":[]} CSL_BIBLIOGRAPHY</w:instrText>
      </w:r>
      <w:r>
        <w:rPr>
          <w:lang w:val="pt-BR"/>
        </w:rPr>
      </w:r>
      <w:r>
        <w:rPr>
          <w:lang w:val="pt-BR"/>
        </w:rPr>
        <w:fldChar w:fldCharType="separate"/>
      </w:r>
      <w:r>
        <w:rPr>
          <w:lang w:val="pt-BR"/>
        </w:rPr>
      </w:r>
      <w:r>
        <w:rPr>
          <w:rFonts w:cs="Calibri" w:ascii="Calibri" w:hAnsi="Calibri"/>
          <w:lang w:val="pt-BR"/>
        </w:rPr>
        <w:t xml:space="preserve">Davis, J. L., &amp; Chouinard, J. B. (2016). </w:t>
      </w:r>
      <w:r>
        <w:rPr>
          <w:rFonts w:cs="Calibri" w:ascii="Calibri" w:hAnsi="Calibri"/>
        </w:rPr>
        <w:t xml:space="preserve">Theorizing Affordances: From Request to Refuse. </w:t>
      </w:r>
      <w:r>
        <w:rPr>
          <w:rFonts w:cs="Calibri" w:ascii="Calibri" w:hAnsi="Calibri"/>
          <w:i/>
          <w:iCs/>
        </w:rPr>
        <w:t>Bulletin of Science, Technology &amp; Society</w:t>
      </w:r>
      <w:r>
        <w:rPr>
          <w:rFonts w:cs="Calibri" w:ascii="Calibri" w:hAnsi="Calibri"/>
        </w:rPr>
        <w:t xml:space="preserve">, </w:t>
      </w:r>
      <w:r>
        <w:rPr>
          <w:rFonts w:cs="Calibri" w:ascii="Calibri" w:hAnsi="Calibri"/>
          <w:i/>
          <w:iCs/>
        </w:rPr>
        <w:t>36</w:t>
      </w:r>
      <w:r>
        <w:rPr>
          <w:rFonts w:cs="Calibri" w:ascii="Calibri" w:hAnsi="Calibri"/>
        </w:rPr>
        <w:t>(4), 241–248. https://doi.org/10.1177/0270467617714944</w:t>
      </w:r>
    </w:p>
    <w:p>
      <w:pPr>
        <w:pStyle w:val="Bibliography"/>
        <w:rPr>
          <w:rFonts w:ascii="Calibri" w:hAnsi="Calibri" w:cs="Calibri"/>
        </w:rPr>
      </w:pPr>
      <w:r>
        <w:rPr>
          <w:rFonts w:cs="Calibri" w:ascii="Calibri" w:hAnsi="Calibri"/>
        </w:rPr>
        <w:t xml:space="preserve">Gibson, J. J. (2014). </w:t>
      </w:r>
      <w:r>
        <w:rPr>
          <w:rFonts w:cs="Calibri" w:ascii="Calibri" w:hAnsi="Calibri"/>
          <w:i/>
          <w:iCs/>
        </w:rPr>
        <w:t>The Ecological Approach to Visual Perception: Classic Edition</w:t>
      </w:r>
      <w:r>
        <w:rPr>
          <w:rFonts w:cs="Calibri" w:ascii="Calibri" w:hAnsi="Calibri"/>
        </w:rPr>
        <w:t>. Psychology Press. https://doi.org/10.4324/9781315740218</w:t>
      </w:r>
    </w:p>
    <w:p>
      <w:pPr>
        <w:pStyle w:val="Bibliography"/>
        <w:rPr>
          <w:rFonts w:ascii="Calibri" w:hAnsi="Calibri" w:cs="Calibri"/>
        </w:rPr>
      </w:pPr>
      <w:r>
        <w:rPr>
          <w:rFonts w:cs="Calibri" w:ascii="Calibri" w:hAnsi="Calibri"/>
        </w:rPr>
        <w:t xml:space="preserve">Hutchby, I. (2001). Technologies, Texts and Affordances. </w:t>
      </w:r>
      <w:r>
        <w:rPr>
          <w:rFonts w:cs="Calibri" w:ascii="Calibri" w:hAnsi="Calibri"/>
          <w:i/>
          <w:iCs/>
        </w:rPr>
        <w:t>Sociology</w:t>
      </w:r>
      <w:r>
        <w:rPr>
          <w:rFonts w:cs="Calibri" w:ascii="Calibri" w:hAnsi="Calibri"/>
        </w:rPr>
        <w:t xml:space="preserve">, </w:t>
      </w:r>
      <w:r>
        <w:rPr>
          <w:rFonts w:cs="Calibri" w:ascii="Calibri" w:hAnsi="Calibri"/>
          <w:i/>
          <w:iCs/>
        </w:rPr>
        <w:t>35</w:t>
      </w:r>
      <w:r>
        <w:rPr>
          <w:rFonts w:cs="Calibri" w:ascii="Calibri" w:hAnsi="Calibri"/>
        </w:rPr>
        <w:t>(2), 441–456. https://doi.org/10.1177/S0038038501000219</w:t>
      </w:r>
    </w:p>
    <w:p>
      <w:pPr>
        <w:pStyle w:val="Bibliography"/>
        <w:rPr>
          <w:rFonts w:ascii="Calibri" w:hAnsi="Calibri" w:cs="Calibri"/>
        </w:rPr>
      </w:pPr>
      <w:r>
        <w:rPr>
          <w:rFonts w:cs="Calibri" w:ascii="Calibri" w:hAnsi="Calibri"/>
        </w:rPr>
        <w:t xml:space="preserve">Nagy, P., &amp; Neff, G. (2015). Imagined Affordance: Reconstructing a Keyword for Communication Theory. </w:t>
      </w:r>
      <w:r>
        <w:rPr>
          <w:rFonts w:cs="Calibri" w:ascii="Calibri" w:hAnsi="Calibri"/>
          <w:i/>
          <w:iCs/>
        </w:rPr>
        <w:t>Social Media + Society</w:t>
      </w:r>
      <w:r>
        <w:rPr>
          <w:rFonts w:cs="Calibri" w:ascii="Calibri" w:hAnsi="Calibri"/>
        </w:rPr>
        <w:t xml:space="preserve">, </w:t>
      </w:r>
      <w:r>
        <w:rPr>
          <w:rFonts w:cs="Calibri" w:ascii="Calibri" w:hAnsi="Calibri"/>
          <w:i/>
          <w:iCs/>
        </w:rPr>
        <w:t>1</w:t>
      </w:r>
      <w:r>
        <w:rPr>
          <w:rFonts w:cs="Calibri" w:ascii="Calibri" w:hAnsi="Calibri"/>
        </w:rPr>
        <w:t>(2), 205630511560338. https://doi.org/10.1177/2056305115603385</w:t>
      </w:r>
    </w:p>
    <w:p>
      <w:pPr>
        <w:pStyle w:val="Bibliography"/>
        <w:rPr>
          <w:rFonts w:ascii="Calibri" w:hAnsi="Calibri" w:cs="Calibri"/>
        </w:rPr>
      </w:pPr>
      <w:r>
        <w:rPr>
          <w:rFonts w:cs="Calibri" w:ascii="Calibri" w:hAnsi="Calibri"/>
        </w:rPr>
        <w:t xml:space="preserve">Schmidt, R. C. (2007). Scaffolds for Social Meaning. </w:t>
      </w:r>
      <w:r>
        <w:rPr>
          <w:rFonts w:cs="Calibri" w:ascii="Calibri" w:hAnsi="Calibri"/>
          <w:i/>
          <w:iCs/>
        </w:rPr>
        <w:t>Ecological Psychology</w:t>
      </w:r>
      <w:r>
        <w:rPr>
          <w:rFonts w:cs="Calibri" w:ascii="Calibri" w:hAnsi="Calibri"/>
        </w:rPr>
        <w:t xml:space="preserve">, </w:t>
      </w:r>
      <w:r>
        <w:rPr>
          <w:rFonts w:cs="Calibri" w:ascii="Calibri" w:hAnsi="Calibri"/>
          <w:i/>
          <w:iCs/>
        </w:rPr>
        <w:t>19</w:t>
      </w:r>
      <w:r>
        <w:rPr>
          <w:rFonts w:cs="Calibri" w:ascii="Calibri" w:hAnsi="Calibri"/>
        </w:rPr>
        <w:t>(2), 137–151. https://doi.org/10.1080/10407410701332064</w:t>
      </w:r>
    </w:p>
    <w:p>
      <w:pPr>
        <w:pStyle w:val="Normal"/>
        <w:spacing w:before="0" w:after="160"/>
        <w:rPr>
          <w:lang w:val="pt-BR"/>
        </w:rPr>
      </w:pPr>
      <w:r/>
      <w:r>
        <w:rPr>
          <w:lang w:val="pt-BR"/>
        </w:rPr>
        <w:fldChar w:fldCharType="end"/>
      </w:r>
      <w:r>
        <w:rPr>
          <w:lang w:val="pt-B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e31d70"/>
    <w:rPr>
      <w:color w:themeColor="hyperlink" w:val="0563C1"/>
      <w:u w:val="single"/>
    </w:rPr>
  </w:style>
  <w:style w:type="character" w:styleId="UnresolvedMention">
    <w:name w:val="Unresolved Mention"/>
    <w:basedOn w:val="DefaultParagraphFont"/>
    <w:uiPriority w:val="99"/>
    <w:semiHidden/>
    <w:unhideWhenUsed/>
    <w:qFormat/>
    <w:rsid w:val="00e31d70"/>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e41ce3"/>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Bibliography">
    <w:name w:val="Bibliography"/>
    <w:basedOn w:val="Normal"/>
    <w:next w:val="Normal"/>
    <w:uiPriority w:val="37"/>
    <w:unhideWhenUsed/>
    <w:qFormat/>
    <w:rsid w:val="00e31d70"/>
    <w:pPr>
      <w:spacing w:lineRule="auto" w:line="480" w:before="0" w:after="0"/>
      <w:ind w:hanging="720" w:start="7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tadao.com.br/politica/gestao-politica-e-sociedade/videogames-para-o-bem-ou-para-o-mal/" TargetMode="External"/><Relationship Id="rId3" Type="http://schemas.openxmlformats.org/officeDocument/2006/relationships/hyperlink" Target="https://www.tecmundo.com.br/voxel/263039-lula-culpa-jogos-ataques-escolas.htm" TargetMode="External"/><Relationship Id="rId4" Type="http://schemas.openxmlformats.org/officeDocument/2006/relationships/hyperlink" Target="https://www.pcgamer.com/yoko-taro-explains-how-a-coca-cola-ad-inspired-nier-automata/" TargetMode="External"/><Relationship Id="rId5" Type="http://schemas.openxmlformats.org/officeDocument/2006/relationships/hyperlink" Target="https://www.estadao.com.br/link/empresas/por-que-o-twitter-usa-emoji-de-coco-para-responder-sobre-massacre-nas-escolas/" TargetMode="External"/><Relationship Id="rId6" Type="http://schemas.openxmlformats.org/officeDocument/2006/relationships/hyperlink" Target="https://www.estadao.com.br/politica/gestao-politica-e-sociedade/assombracoes-de-um-futuro-passado-e-a-impossibilidade-de-criar-o-novo/"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287</TotalTime>
  <Application>LibreOffice/26.2.3.2$Linux_X86_64 LibreOffice_project/7d74455cffae7a589951233f185ae0303c082020</Application>
  <AppVersion>15.0000</AppVersion>
  <Pages>5</Pages>
  <Words>1436</Words>
  <Characters>8028</Characters>
  <CharactersWithSpaces>9455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2023-04-19T11:55:00Z</dcterms:created>
  <dc:creator>LUCAS BUSANI XAVIER</dc:creator>
  <dc:description/>
  <dc:language>en-CA</dc:language>
  <cp:lastModifiedBy/>
  <dcterms:modified xsi:type="dcterms:W3CDTF">2026-06-01T14:56:38Z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id="wsJWE4qY"/&gt;&lt;style id="http://www.zotero.org/styles/apa"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