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D2D354" w14:textId="77777777" w:rsidR="00327AEA" w:rsidRPr="00327AEA" w:rsidRDefault="00327AEA" w:rsidP="005129DF">
      <w:pPr>
        <w:spacing w:line="360" w:lineRule="auto"/>
        <w:jc w:val="both"/>
        <w:rPr>
          <w:rFonts w:ascii="Cambria Math" w:eastAsia="Cambria Math" w:hAnsi="Cambria Math" w:cs="Cambria Math"/>
          <w:b/>
          <w:bCs/>
        </w:rPr>
      </w:pPr>
      <w:r w:rsidRPr="00327AEA">
        <w:rPr>
          <w:rFonts w:ascii="Cambria Math" w:eastAsia="Cambria Math" w:hAnsi="Cambria Math" w:cs="Cambria Math"/>
          <w:b/>
          <w:bCs/>
        </w:rPr>
        <w:t>The new mean for the P matrices.</w:t>
      </w:r>
    </w:p>
    <w:p w14:paraId="125E7CBD" w14:textId="77777777" w:rsidR="00327AEA" w:rsidRDefault="00327AEA" w:rsidP="005129DF">
      <w:pPr>
        <w:spacing w:line="360" w:lineRule="auto"/>
        <w:jc w:val="both"/>
        <w:rPr>
          <w:rFonts w:ascii="Cambria Math" w:eastAsia="Cambria Math" w:hAnsi="Cambria Math" w:cs="Cambria Math"/>
        </w:rPr>
      </w:pPr>
    </w:p>
    <w:p w14:paraId="7829575C" w14:textId="2701FD48" w:rsidR="00EC28E7" w:rsidRDefault="00EC28E7" w:rsidP="005129DF">
      <w:pPr>
        <w:spacing w:line="360" w:lineRule="auto"/>
        <w:jc w:val="both"/>
        <w:rPr>
          <w:rFonts w:ascii="Cambria Math" w:eastAsia="Cambria Math" w:hAnsi="Cambria Math" w:cs="Cambria Math"/>
        </w:rPr>
      </w:pPr>
      <w:r w:rsidRPr="008929CE">
        <w:rPr>
          <w:rFonts w:ascii="Cambria Math" w:eastAsia="Cambria Math" w:hAnsi="Cambria Math" w:cs="Cambria Math"/>
        </w:rPr>
        <w:t xml:space="preserve">This document summarizes the application of the analytical framework from Tsuboi </w:t>
      </w:r>
      <w:r w:rsidRPr="008929CE">
        <w:rPr>
          <w:rFonts w:ascii="Cambria Math" w:eastAsia="Cambria Math" w:hAnsi="Cambria Math" w:cs="Cambria Math"/>
          <w:i/>
          <w:iCs/>
        </w:rPr>
        <w:t>et al</w:t>
      </w:r>
      <w:r w:rsidRPr="008929CE">
        <w:rPr>
          <w:rFonts w:ascii="Cambria Math" w:eastAsia="Cambria Math" w:hAnsi="Cambria Math" w:cs="Cambria Math"/>
        </w:rPr>
        <w:t>. (2026) “</w:t>
      </w:r>
      <w:r w:rsidRPr="008929CE">
        <w:rPr>
          <w:rFonts w:ascii="Cambria Math" w:eastAsia="Cambria Math" w:hAnsi="Cambria Math" w:cs="Cambria Math"/>
          <w:b/>
          <w:bCs/>
        </w:rPr>
        <w:t>Variation evolves, but its ability to predict macroevolution persists</w:t>
      </w:r>
      <w:r w:rsidRPr="008929CE">
        <w:rPr>
          <w:rFonts w:ascii="Cambria Math" w:eastAsia="Cambria Math" w:hAnsi="Cambria Math" w:cs="Cambria Math"/>
        </w:rPr>
        <w:t>” to the primates phenotypic covariance matrices. The objective is to evaluate whether the same patterns observed in the original study are recovered in this dataset.</w:t>
      </w:r>
    </w:p>
    <w:p w14:paraId="1B342278" w14:textId="77777777" w:rsidR="002B4BCD" w:rsidRPr="008929CE" w:rsidRDefault="002B4BCD" w:rsidP="005129DF">
      <w:pPr>
        <w:spacing w:line="360" w:lineRule="auto"/>
        <w:jc w:val="both"/>
        <w:rPr>
          <w:rFonts w:ascii="Cambria Math" w:eastAsia="Cambria Math" w:hAnsi="Cambria Math" w:cs="Cambria Math"/>
        </w:rPr>
      </w:pPr>
    </w:p>
    <w:p w14:paraId="2DD62C79" w14:textId="19C365E9" w:rsidR="00983C90" w:rsidRPr="008929CE" w:rsidRDefault="00CC5249" w:rsidP="005129DF">
      <w:pPr>
        <w:jc w:val="both"/>
        <w:rPr>
          <w:rFonts w:ascii="Cambria Math" w:hAnsi="Cambria Math"/>
        </w:rPr>
      </w:pPr>
      <w:r w:rsidRPr="008929CE">
        <w:rPr>
          <w:rFonts w:ascii="Cambria Math" w:hAnsi="Cambria Math"/>
          <w:noProof/>
        </w:rPr>
        <w:drawing>
          <wp:inline distT="0" distB="0" distL="0" distR="0" wp14:anchorId="6EF52FB3" wp14:editId="0AA3C767">
            <wp:extent cx="5731510" cy="3183890"/>
            <wp:effectExtent l="0" t="0" r="0" b="3810"/>
            <wp:docPr id="2050831572" name="Picture 3" descr="A group of graphs showing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31572" name="Picture 3" descr="A group of graphs showing different types of data&#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183890"/>
                    </a:xfrm>
                    <a:prstGeom prst="rect">
                      <a:avLst/>
                    </a:prstGeom>
                  </pic:spPr>
                </pic:pic>
              </a:graphicData>
            </a:graphic>
          </wp:inline>
        </w:drawing>
      </w:r>
    </w:p>
    <w:p w14:paraId="004DFD95" w14:textId="6F94FA15" w:rsidR="00B9614C" w:rsidRPr="008929CE" w:rsidRDefault="004A4DE9" w:rsidP="005129DF">
      <w:pPr>
        <w:jc w:val="both"/>
        <w:rPr>
          <w:rFonts w:ascii="Cambria Math" w:hAnsi="Cambria Math"/>
        </w:rPr>
      </w:pPr>
      <w:r>
        <w:rPr>
          <w:rFonts w:ascii="Cambria Math" w:eastAsia="Cambria Math" w:hAnsi="Cambria Math" w:cs="Cambria Math"/>
          <w:b/>
          <w:bCs/>
        </w:rPr>
        <w:t xml:space="preserve">Change axis, Conditional evolvability difference face and neurocranium. </w:t>
      </w:r>
      <w:r w:rsidR="008124D5" w:rsidRPr="008929CE">
        <w:rPr>
          <w:rFonts w:ascii="Cambria Math" w:eastAsia="Cambria Math" w:hAnsi="Cambria Math" w:cs="Cambria Math"/>
          <w:b/>
          <w:bCs/>
        </w:rPr>
        <w:t>Figure 1:</w:t>
      </w:r>
      <w:r w:rsidR="008124D5" w:rsidRPr="008929CE">
        <w:rPr>
          <w:rFonts w:ascii="Cambria Math" w:eastAsia="Cambria Math" w:hAnsi="Cambria Math" w:cs="Cambria Math"/>
        </w:rPr>
        <w:t xml:space="preserve"> </w:t>
      </w:r>
      <w:r w:rsidR="007A6715" w:rsidRPr="007A6715">
        <w:rPr>
          <w:rFonts w:ascii="Cambria Math" w:eastAsia="Cambria Math" w:hAnsi="Cambria Math" w:cs="Cambria Math"/>
        </w:rPr>
        <w:t>Proportion of phenotypic variance explained by each eigenvector of genus-specific phenotypic covariance (</w:t>
      </w:r>
      <w:r w:rsidR="007A6715" w:rsidRPr="005129DF">
        <w:rPr>
          <w:rFonts w:ascii="Cambria Math" w:eastAsia="Cambria Math" w:hAnsi="Cambria Math" w:cs="Cambria Math"/>
          <w:b/>
          <w:bCs/>
        </w:rPr>
        <w:t>P</w:t>
      </w:r>
      <w:r w:rsidR="007A6715" w:rsidRPr="007A6715">
        <w:rPr>
          <w:rFonts w:ascii="Cambria Math" w:eastAsia="Cambria Math" w:hAnsi="Cambria Math" w:cs="Cambria Math"/>
        </w:rPr>
        <w:t>) matrices across primates, separated into Face and Neurocranium modules. The panels show both the raw proportion of variance explained and its log-transformed values.</w:t>
      </w:r>
    </w:p>
    <w:p w14:paraId="1F591C2E" w14:textId="77777777" w:rsidR="00B9614C" w:rsidRPr="008929CE" w:rsidRDefault="00B9614C" w:rsidP="005129DF">
      <w:pPr>
        <w:jc w:val="both"/>
        <w:rPr>
          <w:rFonts w:ascii="Cambria Math" w:hAnsi="Cambria Math"/>
        </w:rPr>
      </w:pPr>
    </w:p>
    <w:p w14:paraId="4C2F2BEF" w14:textId="62557182" w:rsidR="00B61ED7" w:rsidRPr="008929CE" w:rsidRDefault="00B61ED7" w:rsidP="005129DF">
      <w:pPr>
        <w:jc w:val="both"/>
        <w:rPr>
          <w:rFonts w:ascii="Cambria Math" w:hAnsi="Cambria Math"/>
        </w:rPr>
      </w:pPr>
      <w:r w:rsidRPr="008929CE">
        <w:rPr>
          <w:rFonts w:ascii="Cambria Math" w:hAnsi="Cambria Math"/>
          <w:noProof/>
        </w:rPr>
        <w:lastRenderedPageBreak/>
        <w:drawing>
          <wp:inline distT="0" distB="0" distL="0" distR="0" wp14:anchorId="02F062E5" wp14:editId="714F1738">
            <wp:extent cx="5731510" cy="2865755"/>
            <wp:effectExtent l="0" t="0" r="0" b="4445"/>
            <wp:docPr id="945418308" name="Picture 1" descr="A graph of multiple colored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418308" name="Picture 1" descr="A graph of multiple colored dot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663958ED" w14:textId="199814AD" w:rsidR="002C4403" w:rsidRDefault="00666814" w:rsidP="005129DF">
      <w:pPr>
        <w:jc w:val="both"/>
        <w:rPr>
          <w:rFonts w:ascii="Cambria Math" w:hAnsi="Cambria Math"/>
        </w:rPr>
      </w:pPr>
      <w:r>
        <w:rPr>
          <w:rFonts w:ascii="Cambria Math" w:hAnsi="Cambria Math"/>
          <w:b/>
          <w:bCs/>
        </w:rPr>
        <w:t xml:space="preserve">Distribution of length of sexual dimorphism. </w:t>
      </w:r>
      <w:r w:rsidR="002C4403" w:rsidRPr="008929CE">
        <w:rPr>
          <w:rFonts w:ascii="Cambria Math" w:hAnsi="Cambria Math"/>
          <w:b/>
          <w:bCs/>
        </w:rPr>
        <w:t>Figure 2:</w:t>
      </w:r>
      <w:r w:rsidR="002C4403" w:rsidRPr="008929CE">
        <w:rPr>
          <w:rFonts w:ascii="Cambria Math" w:hAnsi="Cambria Math"/>
        </w:rPr>
        <w:t xml:space="preserve"> </w:t>
      </w:r>
      <w:r w:rsidR="00E22B1F" w:rsidRPr="00572700">
        <w:rPr>
          <w:rFonts w:ascii="Cambria Math" w:hAnsi="Cambria Math"/>
        </w:rPr>
        <w:t>Sexual dimorphism across primate genera for the 39 linear cranial measurements.</w:t>
      </w:r>
      <w:r w:rsidR="00E22B1F" w:rsidRPr="00E22B1F">
        <w:rPr>
          <w:rFonts w:ascii="Cambria Math" w:hAnsi="Cambria Math"/>
        </w:rPr>
        <w:t xml:space="preserve"> Measurements were log-transformed prior to calculating sexual dimorphism and were classified into the Face, Neurocranium, and </w:t>
      </w:r>
      <w:r w:rsidR="00E22B1F">
        <w:rPr>
          <w:rFonts w:ascii="Cambria Math" w:hAnsi="Cambria Math"/>
        </w:rPr>
        <w:t>Both</w:t>
      </w:r>
      <w:r w:rsidR="00E22B1F" w:rsidRPr="00E22B1F">
        <w:rPr>
          <w:rFonts w:ascii="Cambria Math" w:hAnsi="Cambria Math"/>
        </w:rPr>
        <w:t xml:space="preserve"> categories, with PTTSP traits potentially contributing to both modules. Each point represents a genus.</w:t>
      </w:r>
    </w:p>
    <w:p w14:paraId="0D9EEF49" w14:textId="77777777" w:rsidR="002B4BCD" w:rsidRPr="008929CE" w:rsidRDefault="002B4BCD" w:rsidP="005129DF">
      <w:pPr>
        <w:jc w:val="both"/>
        <w:rPr>
          <w:rFonts w:ascii="Cambria Math" w:hAnsi="Cambria Math"/>
        </w:rPr>
      </w:pPr>
    </w:p>
    <w:p w14:paraId="65CA71DA" w14:textId="196B0327" w:rsidR="00B61ED7" w:rsidRPr="008929CE" w:rsidRDefault="00972361" w:rsidP="005129DF">
      <w:pPr>
        <w:jc w:val="both"/>
        <w:rPr>
          <w:rFonts w:ascii="Cambria Math" w:hAnsi="Cambria Math"/>
        </w:rPr>
      </w:pPr>
      <w:r w:rsidRPr="008929CE">
        <w:rPr>
          <w:rFonts w:ascii="Cambria Math" w:hAnsi="Cambria Math"/>
          <w:noProof/>
        </w:rPr>
        <w:drawing>
          <wp:inline distT="0" distB="0" distL="0" distR="0" wp14:anchorId="3964B980" wp14:editId="72324032">
            <wp:extent cx="5731510" cy="3343275"/>
            <wp:effectExtent l="0" t="0" r="0" b="0"/>
            <wp:docPr id="11643709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70967" name="Picture 11643709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4C241E3C" w14:textId="3D6BA320" w:rsidR="002B4BCD" w:rsidRDefault="00BD415C" w:rsidP="005129DF">
      <w:pPr>
        <w:jc w:val="both"/>
        <w:rPr>
          <w:rFonts w:ascii="Cambria Math" w:hAnsi="Cambria Math"/>
        </w:rPr>
      </w:pPr>
      <w:r>
        <w:rPr>
          <w:rFonts w:ascii="Cambria Math" w:hAnsi="Cambria Math"/>
          <w:b/>
          <w:bCs/>
        </w:rPr>
        <w:t xml:space="preserve">HIGH DIMENSION DON’T WORK too much. </w:t>
      </w:r>
      <w:r w:rsidR="007E16DB">
        <w:rPr>
          <w:rFonts w:ascii="Cambria Math" w:hAnsi="Cambria Math"/>
          <w:b/>
          <w:bCs/>
        </w:rPr>
        <w:t>Plot without z transform.</w:t>
      </w:r>
      <w:r w:rsidR="00327AEA">
        <w:rPr>
          <w:rFonts w:ascii="Cambria Math" w:hAnsi="Cambria Math"/>
          <w:b/>
          <w:bCs/>
        </w:rPr>
        <w:t xml:space="preserve"> </w:t>
      </w:r>
      <w:r w:rsidR="00A275E2" w:rsidRPr="00BF70CD">
        <w:rPr>
          <w:rFonts w:ascii="Cambria Math" w:hAnsi="Cambria Math"/>
          <w:b/>
          <w:bCs/>
        </w:rPr>
        <w:t>Figure 3:</w:t>
      </w:r>
      <w:r w:rsidR="00A275E2" w:rsidRPr="008929CE">
        <w:rPr>
          <w:rFonts w:ascii="Cambria Math" w:hAnsi="Cambria Math"/>
        </w:rPr>
        <w:t xml:space="preserve"> </w:t>
      </w:r>
      <w:r w:rsidR="00087CAA" w:rsidRPr="00087CAA">
        <w:rPr>
          <w:rFonts w:ascii="Cambria Math" w:hAnsi="Cambria Math"/>
        </w:rPr>
        <w:t>Relationship between the correlation of the sexual dimorphism vector with PC</w:t>
      </w:r>
      <w:r w:rsidR="00087CAA" w:rsidRPr="00104E1D">
        <w:rPr>
          <w:rFonts w:ascii="Cambria Math" w:hAnsi="Cambria Math"/>
          <w:vertAlign w:val="subscript"/>
        </w:rPr>
        <w:t>max</w:t>
      </w:r>
      <w:r w:rsidR="00087CAA" w:rsidRPr="00087CAA">
        <w:rPr>
          <w:rFonts w:ascii="Cambria Math" w:hAnsi="Cambria Math"/>
        </w:rPr>
        <w:t xml:space="preserve"> of the mean phenotypic covariance (</w:t>
      </w:r>
      <w:r w:rsidR="00087CAA" w:rsidRPr="00664BC4">
        <w:rPr>
          <w:rFonts w:ascii="Cambria Math" w:hAnsi="Cambria Math"/>
          <w:b/>
          <w:bCs/>
        </w:rPr>
        <w:t>P</w:t>
      </w:r>
      <w:r w:rsidR="00087CAA" w:rsidRPr="00087CAA">
        <w:rPr>
          <w:rFonts w:ascii="Cambria Math" w:hAnsi="Cambria Math"/>
        </w:rPr>
        <w:t xml:space="preserve">) matrix and the magnitude of sexual dimorphism across primate genera, separated into Face and Neurocranium modules. Measurements were </w:t>
      </w:r>
      <w:r w:rsidR="00087CAA" w:rsidRPr="00087CAA">
        <w:rPr>
          <w:rFonts w:ascii="Cambria Math" w:hAnsi="Cambria Math"/>
        </w:rPr>
        <w:lastRenderedPageBreak/>
        <w:t xml:space="preserve">first log-transformed, and sexual dimorphism was then calculated from the log-transformed measurements. Sexual dimorphism magnitude was quantified as the norm (length) of the resulting vector. The size component was removed from both genus-specific sexual dimorphism vectors and mean </w:t>
      </w:r>
      <w:r w:rsidR="00087CAA" w:rsidRPr="00087CAA">
        <w:rPr>
          <w:rFonts w:ascii="Cambria Math" w:hAnsi="Cambria Math"/>
          <w:b/>
          <w:bCs/>
        </w:rPr>
        <w:t>P</w:t>
      </w:r>
      <w:r w:rsidR="00087CAA" w:rsidRPr="00087CAA">
        <w:rPr>
          <w:rFonts w:ascii="Cambria Math" w:hAnsi="Cambria Math"/>
        </w:rPr>
        <w:t xml:space="preserve"> matrices by setting the first eigenvalue to zero. Separate mean </w:t>
      </w:r>
      <w:r w:rsidR="00087CAA" w:rsidRPr="00087CAA">
        <w:rPr>
          <w:rFonts w:ascii="Cambria Math" w:hAnsi="Cambria Math"/>
          <w:b/>
          <w:bCs/>
        </w:rPr>
        <w:t>P</w:t>
      </w:r>
      <w:r w:rsidR="00087CAA" w:rsidRPr="00087CAA">
        <w:rPr>
          <w:rFonts w:ascii="Cambria Math" w:hAnsi="Cambria Math"/>
        </w:rPr>
        <w:t xml:space="preserve"> matrices were calculated for the Face and Neurocranium modules. Correlation coefficients between PC</w:t>
      </w:r>
      <w:r w:rsidR="00087CAA" w:rsidRPr="00A272E5">
        <w:rPr>
          <w:rFonts w:ascii="Cambria Math" w:hAnsi="Cambria Math"/>
          <w:vertAlign w:val="subscript"/>
        </w:rPr>
        <w:t>max</w:t>
      </w:r>
      <w:r w:rsidR="00087CAA" w:rsidRPr="00087CAA">
        <w:rPr>
          <w:rFonts w:ascii="Cambria Math" w:hAnsi="Cambria Math"/>
        </w:rPr>
        <w:t xml:space="preserve"> and the sexual dimorphism vectors were Fisher z-transformed to account for the non-normal distribution of correlation coefficients.</w:t>
      </w:r>
    </w:p>
    <w:p w14:paraId="49A651E6" w14:textId="77777777" w:rsidR="001A4270" w:rsidRPr="008929CE" w:rsidRDefault="001A4270" w:rsidP="005129DF">
      <w:pPr>
        <w:jc w:val="both"/>
        <w:rPr>
          <w:rFonts w:ascii="Cambria Math" w:hAnsi="Cambria Math"/>
        </w:rPr>
      </w:pPr>
    </w:p>
    <w:p w14:paraId="395688A3" w14:textId="5CAEA742" w:rsidR="00983C90" w:rsidRDefault="003C1183" w:rsidP="005129DF">
      <w:pPr>
        <w:jc w:val="both"/>
        <w:rPr>
          <w:rFonts w:ascii="Cambria Math" w:hAnsi="Cambria Math"/>
        </w:rPr>
      </w:pPr>
      <w:r w:rsidRPr="008929CE">
        <w:rPr>
          <w:rFonts w:ascii="Cambria Math" w:hAnsi="Cambria Math"/>
          <w:noProof/>
        </w:rPr>
        <w:drawing>
          <wp:inline distT="0" distB="0" distL="0" distR="0" wp14:anchorId="3353879D" wp14:editId="0D57B8BB">
            <wp:extent cx="5731510" cy="3343275"/>
            <wp:effectExtent l="0" t="0" r="0" b="0"/>
            <wp:docPr id="1935875480" name="Picture 5"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75480" name="Picture 5" descr="A diagram of a graph&#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343275"/>
                    </a:xfrm>
                    <a:prstGeom prst="rect">
                      <a:avLst/>
                    </a:prstGeom>
                  </pic:spPr>
                </pic:pic>
              </a:graphicData>
            </a:graphic>
          </wp:inline>
        </w:drawing>
      </w:r>
    </w:p>
    <w:p w14:paraId="13E5C555" w14:textId="77777777" w:rsidR="00CC2E30" w:rsidRPr="00CC2E30" w:rsidRDefault="00443D4F" w:rsidP="005129DF">
      <w:pPr>
        <w:jc w:val="both"/>
        <w:rPr>
          <w:rFonts w:ascii="Cambria Math" w:hAnsi="Cambria Math"/>
        </w:rPr>
      </w:pPr>
      <w:r w:rsidRPr="002E6A6D">
        <w:rPr>
          <w:rFonts w:ascii="Cambria Math" w:hAnsi="Cambria Math"/>
          <w:b/>
          <w:bCs/>
        </w:rPr>
        <w:t>Figure 4:</w:t>
      </w:r>
      <w:r>
        <w:rPr>
          <w:rFonts w:ascii="Cambria Math" w:hAnsi="Cambria Math"/>
        </w:rPr>
        <w:t xml:space="preserve"> </w:t>
      </w:r>
      <w:r w:rsidR="00CC2E30" w:rsidRPr="00CC2E30">
        <w:rPr>
          <w:rFonts w:ascii="Cambria Math" w:hAnsi="Cambria Math"/>
        </w:rPr>
        <w:t>Relationship between the distance of genus-specific phenotypic covariance (</w:t>
      </w:r>
      <w:r w:rsidR="00CC2E30" w:rsidRPr="00472E9C">
        <w:rPr>
          <w:rFonts w:ascii="Cambria Math" w:hAnsi="Cambria Math"/>
          <w:b/>
          <w:bCs/>
        </w:rPr>
        <w:t>P</w:t>
      </w:r>
      <w:r w:rsidR="00CC2E30" w:rsidRPr="00CC2E30">
        <w:rPr>
          <w:rFonts w:ascii="Cambria Math" w:hAnsi="Cambria Math"/>
        </w:rPr>
        <w:t xml:space="preserve">) matrices from the mean </w:t>
      </w:r>
      <w:r w:rsidR="00CC2E30" w:rsidRPr="00472E9C">
        <w:rPr>
          <w:rFonts w:ascii="Cambria Math" w:hAnsi="Cambria Math"/>
          <w:b/>
          <w:bCs/>
        </w:rPr>
        <w:t>P</w:t>
      </w:r>
      <w:r w:rsidR="00CC2E30" w:rsidRPr="00CC2E30">
        <w:rPr>
          <w:rFonts w:ascii="Cambria Math" w:hAnsi="Cambria Math"/>
        </w:rPr>
        <w:t xml:space="preserve"> matrix and morphological divergence across primate genera, separated into Face and Neurocranium modules. Matrix distance was quantified as geodesic distance, whereas morphological divergence was quantified as Euclidean distance from the global mean shape. All variables were log-transformed, and the size component, corresponding to the first eigenvalue of each </w:t>
      </w:r>
      <w:r w:rsidR="00CC2E30" w:rsidRPr="00CC2E30">
        <w:rPr>
          <w:rFonts w:ascii="Cambria Math" w:hAnsi="Cambria Math"/>
          <w:b/>
          <w:bCs/>
        </w:rPr>
        <w:t>P</w:t>
      </w:r>
      <w:r w:rsidR="00CC2E30" w:rsidRPr="00CC2E30">
        <w:rPr>
          <w:rFonts w:ascii="Cambria Math" w:hAnsi="Cambria Math"/>
        </w:rPr>
        <w:t xml:space="preserve"> matrix, was removed prior to analysis. Regression lines represent phylogenetic Ornstein–Uhlenbeck models fitted using </w:t>
      </w:r>
      <w:r w:rsidR="00CC2E30" w:rsidRPr="00CC2E30">
        <w:rPr>
          <w:rFonts w:ascii="Cambria Math" w:hAnsi="Cambria Math"/>
          <w:i/>
          <w:iCs/>
        </w:rPr>
        <w:t>SLOUCH</w:t>
      </w:r>
      <w:r w:rsidR="00CC2E30" w:rsidRPr="00CC2E30">
        <w:rPr>
          <w:rFonts w:ascii="Cambria Math" w:hAnsi="Cambria Math"/>
        </w:rPr>
        <w:t>.</w:t>
      </w:r>
    </w:p>
    <w:p w14:paraId="4112D44A" w14:textId="70D009E5" w:rsidR="00443D4F" w:rsidRDefault="00443D4F" w:rsidP="005129DF">
      <w:pPr>
        <w:jc w:val="both"/>
        <w:rPr>
          <w:rFonts w:ascii="Cambria Math" w:hAnsi="Cambria Math"/>
        </w:rPr>
      </w:pPr>
    </w:p>
    <w:p w14:paraId="507E1AC6" w14:textId="77777777" w:rsidR="00443D4F" w:rsidRPr="008929CE" w:rsidRDefault="00443D4F" w:rsidP="005129DF">
      <w:pPr>
        <w:jc w:val="both"/>
        <w:rPr>
          <w:rFonts w:ascii="Cambria Math" w:hAnsi="Cambria Math"/>
        </w:rPr>
      </w:pPr>
    </w:p>
    <w:p w14:paraId="603FC6F5" w14:textId="0FE9FBC5" w:rsidR="00983C90" w:rsidRDefault="003318E0" w:rsidP="005129DF">
      <w:pPr>
        <w:jc w:val="both"/>
        <w:rPr>
          <w:rFonts w:ascii="Cambria Math" w:hAnsi="Cambria Math"/>
        </w:rPr>
      </w:pPr>
      <w:r w:rsidRPr="008929CE">
        <w:rPr>
          <w:rFonts w:ascii="Cambria Math" w:hAnsi="Cambria Math"/>
          <w:noProof/>
        </w:rPr>
        <w:lastRenderedPageBreak/>
        <w:drawing>
          <wp:inline distT="0" distB="0" distL="0" distR="0" wp14:anchorId="1E6C5FA7" wp14:editId="638201ED">
            <wp:extent cx="5731510" cy="3820795"/>
            <wp:effectExtent l="0" t="0" r="0" b="1905"/>
            <wp:docPr id="1910581202" name="Picture 1" descr="A collage of graphs and diagr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81202" name="Picture 1" descr="A collage of graphs and diagram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D0C8E56" w14:textId="4F3BE06B" w:rsidR="008111F6" w:rsidRPr="008929CE" w:rsidRDefault="004B7668" w:rsidP="005129DF">
      <w:pPr>
        <w:jc w:val="both"/>
        <w:rPr>
          <w:rFonts w:ascii="Cambria Math" w:hAnsi="Cambria Math"/>
        </w:rPr>
      </w:pPr>
      <w:r w:rsidRPr="002448AA">
        <w:rPr>
          <w:rFonts w:ascii="Cambria Math" w:hAnsi="Cambria Math"/>
          <w:b/>
          <w:bCs/>
          <w:lang w:val="en-US"/>
        </w:rPr>
        <w:t xml:space="preserve">Figure </w:t>
      </w:r>
      <w:r>
        <w:rPr>
          <w:rFonts w:ascii="Cambria Math" w:hAnsi="Cambria Math"/>
          <w:b/>
          <w:bCs/>
          <w:lang w:val="en-US"/>
        </w:rPr>
        <w:t>5</w:t>
      </w:r>
      <w:r w:rsidRPr="002448AA">
        <w:rPr>
          <w:rFonts w:ascii="Cambria Math" w:hAnsi="Cambria Math"/>
          <w:b/>
          <w:bCs/>
          <w:lang w:val="en-US"/>
        </w:rPr>
        <w:t>:</w:t>
      </w:r>
      <w:r w:rsidRPr="009416A9">
        <w:rPr>
          <w:rFonts w:ascii="Cambria Math" w:hAnsi="Cambria Math"/>
          <w:lang w:val="en-US"/>
        </w:rPr>
        <w:t xml:space="preserve"> </w:t>
      </w:r>
      <w:r w:rsidR="009416A9" w:rsidRPr="009416A9">
        <w:rPr>
          <w:rFonts w:ascii="Cambria Math" w:hAnsi="Cambria Math"/>
        </w:rPr>
        <w:t>Relationship between phenotypic (</w:t>
      </w:r>
      <w:r w:rsidR="009416A9" w:rsidRPr="00EA6733">
        <w:rPr>
          <w:rFonts w:ascii="Cambria Math" w:hAnsi="Cambria Math"/>
          <w:b/>
          <w:bCs/>
        </w:rPr>
        <w:t>P</w:t>
      </w:r>
      <w:r w:rsidR="009416A9" w:rsidRPr="009416A9">
        <w:rPr>
          <w:rFonts w:ascii="Cambria Math" w:hAnsi="Cambria Math"/>
        </w:rPr>
        <w:t>) and evolutionary (</w:t>
      </w:r>
      <w:r w:rsidR="009416A9" w:rsidRPr="00EA6733">
        <w:rPr>
          <w:rFonts w:ascii="Cambria Math" w:hAnsi="Cambria Math"/>
          <w:b/>
          <w:bCs/>
        </w:rPr>
        <w:t>R</w:t>
      </w:r>
      <w:r w:rsidR="009416A9" w:rsidRPr="009416A9">
        <w:rPr>
          <w:rFonts w:ascii="Cambria Math" w:hAnsi="Cambria Math"/>
        </w:rPr>
        <w:t xml:space="preserve">) variance structures across primate genera, separated into Face and Neurocranium modules. </w:t>
      </w:r>
      <w:r w:rsidR="009416A9" w:rsidRPr="009416A9">
        <w:rPr>
          <w:rFonts w:ascii="Cambria Math" w:hAnsi="Cambria Math"/>
          <w:b/>
          <w:bCs/>
        </w:rPr>
        <w:t>(A)</w:t>
      </w:r>
      <w:r w:rsidR="009416A9" w:rsidRPr="009416A9">
        <w:rPr>
          <w:rFonts w:ascii="Cambria Math" w:hAnsi="Cambria Math"/>
        </w:rPr>
        <w:t xml:space="preserve"> Scaling relationships between the eigenvalues of genus-specific </w:t>
      </w:r>
      <w:r w:rsidR="009416A9" w:rsidRPr="009416A9">
        <w:rPr>
          <w:rFonts w:ascii="Cambria Math" w:hAnsi="Cambria Math"/>
          <w:b/>
          <w:bCs/>
        </w:rPr>
        <w:t>P</w:t>
      </w:r>
      <w:r w:rsidR="009416A9" w:rsidRPr="009416A9">
        <w:rPr>
          <w:rFonts w:ascii="Cambria Math" w:hAnsi="Cambria Math"/>
        </w:rPr>
        <w:t xml:space="preserve"> matrices and the corresponding eigenvalues of evolutionary variance (</w:t>
      </w:r>
      <w:r w:rsidR="009416A9" w:rsidRPr="009416A9">
        <w:rPr>
          <w:rFonts w:ascii="Cambria Math" w:hAnsi="Cambria Math"/>
          <w:b/>
          <w:bCs/>
        </w:rPr>
        <w:t>R</w:t>
      </w:r>
      <w:r w:rsidR="009416A9" w:rsidRPr="009416A9">
        <w:rPr>
          <w:rFonts w:ascii="Cambria Math" w:hAnsi="Cambria Math"/>
        </w:rPr>
        <w:t xml:space="preserve">) matrices, shown on a log10 scale. Each line represents a linear regression between the eigenvalues of </w:t>
      </w:r>
      <w:r w:rsidR="009416A9" w:rsidRPr="009416A9">
        <w:rPr>
          <w:rFonts w:ascii="Cambria Math" w:hAnsi="Cambria Math"/>
          <w:b/>
          <w:bCs/>
        </w:rPr>
        <w:t>R</w:t>
      </w:r>
      <w:r w:rsidR="009416A9" w:rsidRPr="009416A9">
        <w:rPr>
          <w:rFonts w:ascii="Cambria Math" w:hAnsi="Cambria Math"/>
        </w:rPr>
        <w:t xml:space="preserve"> and the corresponding eigenvalues of a genus-specific </w:t>
      </w:r>
      <w:r w:rsidR="009416A9" w:rsidRPr="009416A9">
        <w:rPr>
          <w:rFonts w:ascii="Cambria Math" w:hAnsi="Cambria Math"/>
          <w:b/>
          <w:bCs/>
        </w:rPr>
        <w:t>P</w:t>
      </w:r>
      <w:r w:rsidR="009416A9" w:rsidRPr="009416A9">
        <w:rPr>
          <w:rFonts w:ascii="Cambria Math" w:hAnsi="Cambria Math"/>
        </w:rPr>
        <w:t xml:space="preserve"> matrix. </w:t>
      </w:r>
      <w:r w:rsidR="009416A9" w:rsidRPr="009416A9">
        <w:rPr>
          <w:rFonts w:ascii="Cambria Math" w:hAnsi="Cambria Math"/>
          <w:b/>
          <w:bCs/>
        </w:rPr>
        <w:t>(B)</w:t>
      </w:r>
      <w:r w:rsidR="009416A9" w:rsidRPr="009416A9">
        <w:rPr>
          <w:rFonts w:ascii="Cambria Math" w:hAnsi="Cambria Math"/>
        </w:rPr>
        <w:t xml:space="preserve"> Distribution of scaling slopes obtained from genus-specific regressions between log10-transformed eigenvalues of </w:t>
      </w:r>
      <w:r w:rsidR="009416A9" w:rsidRPr="009416A9">
        <w:rPr>
          <w:rFonts w:ascii="Cambria Math" w:hAnsi="Cambria Math"/>
          <w:b/>
          <w:bCs/>
        </w:rPr>
        <w:t>R</w:t>
      </w:r>
      <w:r w:rsidR="009416A9" w:rsidRPr="009416A9">
        <w:rPr>
          <w:rFonts w:ascii="Cambria Math" w:hAnsi="Cambria Math"/>
        </w:rPr>
        <w:t xml:space="preserve"> and </w:t>
      </w:r>
      <w:r w:rsidR="009416A9" w:rsidRPr="009416A9">
        <w:rPr>
          <w:rFonts w:ascii="Cambria Math" w:hAnsi="Cambria Math"/>
          <w:b/>
          <w:bCs/>
        </w:rPr>
        <w:t>P</w:t>
      </w:r>
      <w:r w:rsidR="009416A9" w:rsidRPr="009416A9">
        <w:rPr>
          <w:rFonts w:ascii="Cambria Math" w:hAnsi="Cambria Math"/>
        </w:rPr>
        <w:t xml:space="preserve"> matrices. The dashed line indicates the mean slope across genera. </w:t>
      </w:r>
      <w:r w:rsidR="009416A9" w:rsidRPr="009416A9">
        <w:rPr>
          <w:rFonts w:ascii="Cambria Math" w:hAnsi="Cambria Math"/>
          <w:b/>
          <w:bCs/>
        </w:rPr>
        <w:t>(C–D)</w:t>
      </w:r>
      <w:r w:rsidR="009416A9" w:rsidRPr="009416A9">
        <w:rPr>
          <w:rFonts w:ascii="Cambria Math" w:hAnsi="Cambria Math"/>
        </w:rPr>
        <w:t xml:space="preserve"> Relationships between the geodesic distance of genus-specific </w:t>
      </w:r>
      <w:r w:rsidR="009416A9" w:rsidRPr="009416A9">
        <w:rPr>
          <w:rFonts w:ascii="Cambria Math" w:hAnsi="Cambria Math"/>
          <w:b/>
          <w:bCs/>
        </w:rPr>
        <w:t>P</w:t>
      </w:r>
      <w:r w:rsidR="009416A9" w:rsidRPr="009416A9">
        <w:rPr>
          <w:rFonts w:ascii="Cambria Math" w:hAnsi="Cambria Math"/>
        </w:rPr>
        <w:t xml:space="preserve"> matrices from the mean </w:t>
      </w:r>
      <w:r w:rsidR="009416A9" w:rsidRPr="009416A9">
        <w:rPr>
          <w:rFonts w:ascii="Cambria Math" w:hAnsi="Cambria Math"/>
          <w:b/>
          <w:bCs/>
        </w:rPr>
        <w:t>P</w:t>
      </w:r>
      <w:r w:rsidR="009416A9" w:rsidRPr="009416A9">
        <w:rPr>
          <w:rFonts w:ascii="Cambria Math" w:hAnsi="Cambria Math"/>
        </w:rPr>
        <w:t xml:space="preserve"> matrix and the scaling properties of the </w:t>
      </w:r>
      <w:r w:rsidR="009416A9" w:rsidRPr="009416A9">
        <w:rPr>
          <w:rFonts w:ascii="Cambria Math" w:hAnsi="Cambria Math"/>
          <w:b/>
          <w:bCs/>
        </w:rPr>
        <w:t>R–P</w:t>
      </w:r>
      <w:r w:rsidR="009416A9" w:rsidRPr="009416A9">
        <w:rPr>
          <w:rFonts w:ascii="Cambria Math" w:hAnsi="Cambria Math"/>
        </w:rPr>
        <w:t xml:space="preserve"> relationship. </w:t>
      </w:r>
      <w:r w:rsidR="009416A9" w:rsidRPr="009416A9">
        <w:rPr>
          <w:rFonts w:ascii="Cambria Math" w:hAnsi="Cambria Math"/>
          <w:b/>
          <w:bCs/>
        </w:rPr>
        <w:t>(C)</w:t>
      </w:r>
      <w:r w:rsidR="009416A9" w:rsidRPr="009416A9">
        <w:rPr>
          <w:rFonts w:ascii="Cambria Math" w:hAnsi="Cambria Math"/>
        </w:rPr>
        <w:t xml:space="preserve"> Relationship between geodesic distance and the coefficient of determination (R²) of the log10(</w:t>
      </w:r>
      <w:r w:rsidR="009416A9" w:rsidRPr="009416A9">
        <w:rPr>
          <w:rFonts w:ascii="Cambria Math" w:hAnsi="Cambria Math"/>
          <w:b/>
          <w:bCs/>
        </w:rPr>
        <w:t>R</w:t>
      </w:r>
      <w:r w:rsidR="009416A9" w:rsidRPr="009416A9">
        <w:rPr>
          <w:rFonts w:ascii="Cambria Math" w:hAnsi="Cambria Math"/>
        </w:rPr>
        <w:t>) ~ log10(</w:t>
      </w:r>
      <w:r w:rsidR="009416A9" w:rsidRPr="009416A9">
        <w:rPr>
          <w:rFonts w:ascii="Cambria Math" w:hAnsi="Cambria Math"/>
          <w:b/>
          <w:bCs/>
        </w:rPr>
        <w:t>P</w:t>
      </w:r>
      <w:r w:rsidR="009416A9" w:rsidRPr="009416A9">
        <w:rPr>
          <w:rFonts w:ascii="Cambria Math" w:hAnsi="Cambria Math"/>
        </w:rPr>
        <w:t xml:space="preserve">) regressions. </w:t>
      </w:r>
      <w:r w:rsidR="009416A9" w:rsidRPr="009416A9">
        <w:rPr>
          <w:rFonts w:ascii="Cambria Math" w:hAnsi="Cambria Math"/>
          <w:b/>
          <w:bCs/>
        </w:rPr>
        <w:t>(D)</w:t>
      </w:r>
      <w:r w:rsidR="009416A9" w:rsidRPr="009416A9">
        <w:rPr>
          <w:rFonts w:ascii="Cambria Math" w:hAnsi="Cambria Math"/>
        </w:rPr>
        <w:t xml:space="preserve"> Relationship between geodesic distance and the slope of the log10(</w:t>
      </w:r>
      <w:r w:rsidR="009416A9" w:rsidRPr="009416A9">
        <w:rPr>
          <w:rFonts w:ascii="Cambria Math" w:hAnsi="Cambria Math"/>
          <w:b/>
          <w:bCs/>
        </w:rPr>
        <w:t>R</w:t>
      </w:r>
      <w:r w:rsidR="009416A9" w:rsidRPr="009416A9">
        <w:rPr>
          <w:rFonts w:ascii="Cambria Math" w:hAnsi="Cambria Math"/>
        </w:rPr>
        <w:t>) ~ log10(</w:t>
      </w:r>
      <w:r w:rsidR="009416A9" w:rsidRPr="009416A9">
        <w:rPr>
          <w:rFonts w:ascii="Cambria Math" w:hAnsi="Cambria Math"/>
          <w:b/>
          <w:bCs/>
        </w:rPr>
        <w:t>P</w:t>
      </w:r>
      <w:r w:rsidR="009416A9" w:rsidRPr="009416A9">
        <w:rPr>
          <w:rFonts w:ascii="Cambria Math" w:hAnsi="Cambria Math"/>
        </w:rPr>
        <w:t>) regressions.</w:t>
      </w:r>
    </w:p>
    <w:p w14:paraId="387187E6" w14:textId="1B426E76" w:rsidR="00983C90" w:rsidRDefault="00157792" w:rsidP="005129DF">
      <w:pPr>
        <w:jc w:val="both"/>
        <w:rPr>
          <w:rFonts w:ascii="Cambria Math" w:hAnsi="Cambria Math"/>
        </w:rPr>
      </w:pPr>
      <w:r w:rsidRPr="008929CE">
        <w:rPr>
          <w:rFonts w:ascii="Cambria Math" w:hAnsi="Cambria Math"/>
          <w:noProof/>
        </w:rPr>
        <w:lastRenderedPageBreak/>
        <w:drawing>
          <wp:inline distT="0" distB="0" distL="0" distR="0" wp14:anchorId="5E945C16" wp14:editId="570F3226">
            <wp:extent cx="5731510" cy="2865755"/>
            <wp:effectExtent l="0" t="0" r="0" b="0"/>
            <wp:docPr id="114291454"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1454" name="Picture 2" descr="A screenshot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7FAE2A13" w14:textId="52B69922" w:rsidR="00701876" w:rsidRPr="00213202" w:rsidRDefault="00701876" w:rsidP="005129DF">
      <w:pPr>
        <w:jc w:val="both"/>
        <w:rPr>
          <w:rFonts w:ascii="Cambria Math" w:hAnsi="Cambria Math"/>
        </w:rPr>
      </w:pPr>
      <w:r w:rsidRPr="001F049B">
        <w:rPr>
          <w:rFonts w:ascii="Cambria Math" w:hAnsi="Cambria Math"/>
          <w:b/>
          <w:bCs/>
        </w:rPr>
        <w:t>Figure 6:</w:t>
      </w:r>
      <w:r w:rsidR="001F049B" w:rsidRPr="001F049B">
        <w:rPr>
          <w:rFonts w:ascii="TimesNewRomanPS" w:eastAsia="Times New Roman" w:hAnsi="TimesNewRomanPS" w:cs="Times New Roman"/>
          <w:b/>
          <w:bCs/>
          <w:kern w:val="0"/>
          <w:sz w:val="22"/>
          <w:szCs w:val="22"/>
          <w:lang w:eastAsia="en-GB"/>
          <w14:ligatures w14:val="none"/>
        </w:rPr>
        <w:t xml:space="preserve"> </w:t>
      </w:r>
      <w:r w:rsidR="00087CAA" w:rsidRPr="00087CAA">
        <w:rPr>
          <w:rFonts w:ascii="Cambria Math" w:hAnsi="Cambria Math"/>
        </w:rPr>
        <w:t>Heatmap of evolutionary correlations between variances associated with the eigenvectors of the mean phenotypic covariance (</w:t>
      </w:r>
      <w:r w:rsidR="00087CAA" w:rsidRPr="00D047DE">
        <w:rPr>
          <w:rFonts w:ascii="Cambria Math" w:hAnsi="Cambria Math"/>
          <w:b/>
          <w:bCs/>
        </w:rPr>
        <w:t>P</w:t>
      </w:r>
      <w:r w:rsidR="00087CAA" w:rsidRPr="00087CAA">
        <w:rPr>
          <w:rFonts w:ascii="Cambria Math" w:hAnsi="Cambria Math"/>
        </w:rPr>
        <w:t>) matrices for the Face and Neurocranium modules, estimated under a multivariate Brownian motion model. Lower-left off-diagonal elements show correlations between unconditional variances, whereas upper-right off-diagonal elements show correlations between conditional variances.</w:t>
      </w:r>
    </w:p>
    <w:p w14:paraId="13A517F7" w14:textId="77777777" w:rsidR="002245DA" w:rsidRPr="008929CE" w:rsidRDefault="002245DA" w:rsidP="005129DF">
      <w:pPr>
        <w:jc w:val="both"/>
        <w:rPr>
          <w:rFonts w:ascii="Cambria Math" w:hAnsi="Cambria Math"/>
        </w:rPr>
      </w:pPr>
    </w:p>
    <w:p w14:paraId="42D0AC48" w14:textId="50243068" w:rsidR="0033646C" w:rsidRDefault="0033646C" w:rsidP="005129DF">
      <w:pPr>
        <w:jc w:val="both"/>
        <w:rPr>
          <w:rFonts w:ascii="Cambria Math" w:hAnsi="Cambria Math"/>
        </w:rPr>
      </w:pPr>
      <w:r w:rsidRPr="008929CE">
        <w:rPr>
          <w:rFonts w:ascii="Cambria Math" w:hAnsi="Cambria Math"/>
          <w:noProof/>
        </w:rPr>
        <w:lastRenderedPageBreak/>
        <w:drawing>
          <wp:inline distT="0" distB="0" distL="0" distR="0" wp14:anchorId="1761F859" wp14:editId="4EEA7846">
            <wp:extent cx="5731510" cy="4776470"/>
            <wp:effectExtent l="0" t="0" r="0" b="0"/>
            <wp:docPr id="33768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84065" name="Picture 33768406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2CC858D3" w14:textId="77777777" w:rsidR="00F94239" w:rsidRPr="00F94239" w:rsidRDefault="002245DA" w:rsidP="005129DF">
      <w:pPr>
        <w:jc w:val="both"/>
        <w:rPr>
          <w:rFonts w:ascii="Cambria Math" w:hAnsi="Cambria Math"/>
        </w:rPr>
      </w:pPr>
      <w:r w:rsidRPr="002448AA">
        <w:rPr>
          <w:rFonts w:ascii="Cambria Math" w:hAnsi="Cambria Math"/>
          <w:b/>
          <w:bCs/>
          <w:lang w:val="en-US"/>
        </w:rPr>
        <w:t xml:space="preserve">Figure </w:t>
      </w:r>
      <w:r w:rsidR="00B24036">
        <w:rPr>
          <w:rFonts w:ascii="Cambria Math" w:hAnsi="Cambria Math"/>
          <w:b/>
          <w:bCs/>
          <w:lang w:val="en-US"/>
        </w:rPr>
        <w:t>7</w:t>
      </w:r>
      <w:r w:rsidRPr="002448AA">
        <w:rPr>
          <w:rFonts w:ascii="Cambria Math" w:hAnsi="Cambria Math"/>
          <w:b/>
          <w:bCs/>
          <w:lang w:val="en-US"/>
        </w:rPr>
        <w:t>:</w:t>
      </w:r>
      <w:r w:rsidRPr="002448AA">
        <w:rPr>
          <w:rFonts w:ascii="Cambria Math" w:hAnsi="Cambria Math"/>
          <w:lang w:val="en-US"/>
        </w:rPr>
        <w:t xml:space="preserve"> </w:t>
      </w:r>
      <w:r w:rsidR="00F94239" w:rsidRPr="00F94239">
        <w:rPr>
          <w:rFonts w:ascii="Cambria Math" w:hAnsi="Cambria Math"/>
        </w:rPr>
        <w:t>Relationship between the distance of genus-specific phenotypic covariance (</w:t>
      </w:r>
      <w:r w:rsidR="00F94239" w:rsidRPr="0012516D">
        <w:rPr>
          <w:rFonts w:ascii="Cambria Math" w:hAnsi="Cambria Math"/>
          <w:b/>
          <w:bCs/>
        </w:rPr>
        <w:t>P</w:t>
      </w:r>
      <w:r w:rsidR="00F94239" w:rsidRPr="00F94239">
        <w:rPr>
          <w:rFonts w:ascii="Cambria Math" w:hAnsi="Cambria Math"/>
        </w:rPr>
        <w:t xml:space="preserve">) matrices from the mean </w:t>
      </w:r>
      <w:r w:rsidR="00F94239" w:rsidRPr="0055642E">
        <w:rPr>
          <w:rFonts w:ascii="Cambria Math" w:hAnsi="Cambria Math"/>
          <w:b/>
          <w:bCs/>
        </w:rPr>
        <w:t>P</w:t>
      </w:r>
      <w:r w:rsidR="00F94239" w:rsidRPr="00F94239">
        <w:rPr>
          <w:rFonts w:ascii="Cambria Math" w:hAnsi="Cambria Math"/>
        </w:rPr>
        <w:t xml:space="preserve"> matrix and evolvability across primate genera, separated into Face and Neurocranium modules. </w:t>
      </w:r>
      <w:r w:rsidR="00F94239" w:rsidRPr="00F94239">
        <w:rPr>
          <w:rFonts w:ascii="Cambria Math" w:hAnsi="Cambria Math"/>
          <w:b/>
          <w:bCs/>
        </w:rPr>
        <w:t>(A)</w:t>
      </w:r>
      <w:r w:rsidR="00F94239" w:rsidRPr="00F94239">
        <w:rPr>
          <w:rFonts w:ascii="Cambria Math" w:hAnsi="Cambria Math"/>
        </w:rPr>
        <w:t xml:space="preserve"> Relationship between geodesic distance and log-transformed mean evolvability. </w:t>
      </w:r>
      <w:r w:rsidR="00F94239" w:rsidRPr="00F94239">
        <w:rPr>
          <w:rFonts w:ascii="Cambria Math" w:hAnsi="Cambria Math"/>
          <w:b/>
          <w:bCs/>
        </w:rPr>
        <w:t>(B)</w:t>
      </w:r>
      <w:r w:rsidR="00F94239" w:rsidRPr="00F94239">
        <w:rPr>
          <w:rFonts w:ascii="Cambria Math" w:hAnsi="Cambria Math"/>
        </w:rPr>
        <w:t xml:space="preserve"> Relationship between geodesic distance and log-transformed mean conditional evolvability. Regression lines and R² values were obtained from phylogenetic Ornstein–Uhlenbeck models fitted using </w:t>
      </w:r>
      <w:r w:rsidR="00F94239" w:rsidRPr="00F94239">
        <w:rPr>
          <w:rFonts w:ascii="Cambria Math" w:hAnsi="Cambria Math"/>
          <w:i/>
          <w:iCs/>
        </w:rPr>
        <w:t>SLOUCH</w:t>
      </w:r>
      <w:r w:rsidR="00F94239" w:rsidRPr="00F94239">
        <w:rPr>
          <w:rFonts w:ascii="Cambria Math" w:hAnsi="Cambria Math"/>
        </w:rPr>
        <w:t>, accounting for phylogenetic non-independence and measurement error through a direct-effect model.</w:t>
      </w:r>
    </w:p>
    <w:p w14:paraId="0BEB86C0" w14:textId="1D04542C" w:rsidR="002245DA" w:rsidRDefault="002245DA" w:rsidP="005129DF">
      <w:pPr>
        <w:jc w:val="both"/>
        <w:rPr>
          <w:rFonts w:ascii="Cambria Math" w:hAnsi="Cambria Math"/>
        </w:rPr>
      </w:pPr>
    </w:p>
    <w:p w14:paraId="3178B1EF" w14:textId="77777777" w:rsidR="00B24036" w:rsidRPr="008929CE" w:rsidRDefault="00B24036" w:rsidP="005129DF">
      <w:pPr>
        <w:jc w:val="both"/>
        <w:rPr>
          <w:rFonts w:ascii="Cambria Math" w:hAnsi="Cambria Math"/>
        </w:rPr>
      </w:pPr>
    </w:p>
    <w:p w14:paraId="4FBE8A76" w14:textId="132F1BB4" w:rsidR="00983C90" w:rsidRPr="008929CE" w:rsidRDefault="00DD5CD7" w:rsidP="005129DF">
      <w:pPr>
        <w:jc w:val="both"/>
        <w:rPr>
          <w:rFonts w:ascii="Cambria Math" w:hAnsi="Cambria Math"/>
        </w:rPr>
      </w:pPr>
      <w:r w:rsidRPr="008929CE">
        <w:rPr>
          <w:rFonts w:ascii="Cambria Math" w:hAnsi="Cambria Math"/>
          <w:noProof/>
        </w:rPr>
        <w:lastRenderedPageBreak/>
        <w:drawing>
          <wp:inline distT="0" distB="0" distL="0" distR="0" wp14:anchorId="1146938C" wp14:editId="570A4A52">
            <wp:extent cx="5731510" cy="4776470"/>
            <wp:effectExtent l="0" t="0" r="0" b="0"/>
            <wp:docPr id="957896389" name="Picture 4" descr="A group of graphs showing different types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6389" name="Picture 4" descr="A group of graphs showing different types of number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14:paraId="5EDC8CA4" w14:textId="1652808E" w:rsidR="00C461F3" w:rsidRPr="008929CE" w:rsidRDefault="00B16124" w:rsidP="005129DF">
      <w:pPr>
        <w:jc w:val="both"/>
        <w:rPr>
          <w:rFonts w:ascii="Cambria Math" w:hAnsi="Cambria Math"/>
        </w:rPr>
      </w:pPr>
      <w:r w:rsidRPr="002448AA">
        <w:rPr>
          <w:rFonts w:ascii="Cambria Math" w:hAnsi="Cambria Math"/>
          <w:b/>
          <w:bCs/>
          <w:lang w:val="en-US"/>
        </w:rPr>
        <w:t xml:space="preserve">Figure </w:t>
      </w:r>
      <w:r w:rsidR="00435CBC">
        <w:rPr>
          <w:rFonts w:ascii="Cambria Math" w:hAnsi="Cambria Math"/>
          <w:b/>
          <w:bCs/>
          <w:lang w:val="en-US"/>
        </w:rPr>
        <w:t>8</w:t>
      </w:r>
      <w:r w:rsidRPr="002448AA">
        <w:rPr>
          <w:rFonts w:ascii="Cambria Math" w:hAnsi="Cambria Math"/>
          <w:b/>
          <w:bCs/>
          <w:lang w:val="en-US"/>
        </w:rPr>
        <w:t>:</w:t>
      </w:r>
      <w:r w:rsidRPr="002448AA">
        <w:rPr>
          <w:rFonts w:ascii="Cambria Math" w:hAnsi="Cambria Math"/>
          <w:lang w:val="en-US"/>
        </w:rPr>
        <w:t xml:space="preserve"> </w:t>
      </w:r>
      <w:r w:rsidR="00EA56BF" w:rsidRPr="00EA56BF">
        <w:rPr>
          <w:rFonts w:ascii="Cambria Math" w:hAnsi="Cambria Math"/>
        </w:rPr>
        <w:t>Relationship between the distance of genus-specific phenotypic covariance (</w:t>
      </w:r>
      <w:r w:rsidR="00EA56BF" w:rsidRPr="005028E3">
        <w:rPr>
          <w:rFonts w:ascii="Cambria Math" w:hAnsi="Cambria Math"/>
          <w:b/>
          <w:bCs/>
        </w:rPr>
        <w:t>P</w:t>
      </w:r>
      <w:r w:rsidR="00EA56BF" w:rsidRPr="00EA56BF">
        <w:rPr>
          <w:rFonts w:ascii="Cambria Math" w:hAnsi="Cambria Math"/>
        </w:rPr>
        <w:t xml:space="preserve">) matrices from the mean </w:t>
      </w:r>
      <w:r w:rsidR="00EA56BF" w:rsidRPr="005028E3">
        <w:rPr>
          <w:rFonts w:ascii="Cambria Math" w:hAnsi="Cambria Math"/>
          <w:b/>
          <w:bCs/>
        </w:rPr>
        <w:t>P</w:t>
      </w:r>
      <w:r w:rsidR="00EA56BF" w:rsidRPr="00EA56BF">
        <w:rPr>
          <w:rFonts w:ascii="Cambria Math" w:hAnsi="Cambria Math"/>
        </w:rPr>
        <w:t xml:space="preserve"> matrix and evolvability in the direction of sexual dimorphism across primate genera, separated into Face and Neurocranium modules. </w:t>
      </w:r>
      <w:r w:rsidR="00EA56BF" w:rsidRPr="00EA56BF">
        <w:rPr>
          <w:rFonts w:ascii="Cambria Math" w:hAnsi="Cambria Math"/>
          <w:b/>
          <w:bCs/>
        </w:rPr>
        <w:t>(A)</w:t>
      </w:r>
      <w:r w:rsidR="00EA56BF" w:rsidRPr="00EA56BF">
        <w:rPr>
          <w:rFonts w:ascii="Cambria Math" w:hAnsi="Cambria Math"/>
        </w:rPr>
        <w:t xml:space="preserve"> Relationship between geodesic distance and log-transformed mean evolvability in the direction of sexual dimorphism. </w:t>
      </w:r>
      <w:r w:rsidR="00EA56BF" w:rsidRPr="00EA56BF">
        <w:rPr>
          <w:rFonts w:ascii="Cambria Math" w:hAnsi="Cambria Math"/>
          <w:b/>
          <w:bCs/>
        </w:rPr>
        <w:t>(B)</w:t>
      </w:r>
      <w:r w:rsidR="00EA56BF" w:rsidRPr="00EA56BF">
        <w:rPr>
          <w:rFonts w:ascii="Cambria Math" w:hAnsi="Cambria Math"/>
        </w:rPr>
        <w:t xml:space="preserve"> Relationship between geodesic distance and log-transformed mean conditional evolvability in the direction of sexual dimorphism. Regression lines and R² values were obtained from phylogenetic Ornstein–Uhlenbeck models fitted using </w:t>
      </w:r>
      <w:r w:rsidR="00EA56BF" w:rsidRPr="00EA56BF">
        <w:rPr>
          <w:rFonts w:ascii="Cambria Math" w:hAnsi="Cambria Math"/>
          <w:i/>
          <w:iCs/>
        </w:rPr>
        <w:t>SLOUCH</w:t>
      </w:r>
      <w:r w:rsidR="00EA56BF" w:rsidRPr="00EA56BF">
        <w:rPr>
          <w:rFonts w:ascii="Cambria Math" w:hAnsi="Cambria Math"/>
        </w:rPr>
        <w:t>, accounting for phylogenetic non-independence and measurement error through a direct-effect model.</w:t>
      </w:r>
    </w:p>
    <w:sectPr w:rsidR="00C461F3" w:rsidRPr="008929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TimesNewRomanPS">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963097"/>
    <w:multiLevelType w:val="multilevel"/>
    <w:tmpl w:val="7FF0B60A"/>
    <w:lvl w:ilvl="0">
      <w:start w:val="4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3E399A"/>
    <w:multiLevelType w:val="hybridMultilevel"/>
    <w:tmpl w:val="E7A084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589820">
    <w:abstractNumId w:val="1"/>
  </w:num>
  <w:num w:numId="2" w16cid:durableId="344284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5DE"/>
    <w:rsid w:val="00023986"/>
    <w:rsid w:val="000406AC"/>
    <w:rsid w:val="00056DB1"/>
    <w:rsid w:val="00085693"/>
    <w:rsid w:val="00087CAA"/>
    <w:rsid w:val="000901C3"/>
    <w:rsid w:val="000A4A70"/>
    <w:rsid w:val="000E3370"/>
    <w:rsid w:val="000F1A2A"/>
    <w:rsid w:val="00104E1D"/>
    <w:rsid w:val="0012516D"/>
    <w:rsid w:val="00125FE2"/>
    <w:rsid w:val="0012733A"/>
    <w:rsid w:val="00157792"/>
    <w:rsid w:val="001A4270"/>
    <w:rsid w:val="001D7AB2"/>
    <w:rsid w:val="001F049B"/>
    <w:rsid w:val="002050D8"/>
    <w:rsid w:val="00213202"/>
    <w:rsid w:val="002245DA"/>
    <w:rsid w:val="002352CE"/>
    <w:rsid w:val="00282941"/>
    <w:rsid w:val="002B061E"/>
    <w:rsid w:val="002B4BCD"/>
    <w:rsid w:val="002C4403"/>
    <w:rsid w:val="002E6A6D"/>
    <w:rsid w:val="00327AEA"/>
    <w:rsid w:val="003318E0"/>
    <w:rsid w:val="00333509"/>
    <w:rsid w:val="0033646C"/>
    <w:rsid w:val="00341F58"/>
    <w:rsid w:val="00346E19"/>
    <w:rsid w:val="003477A5"/>
    <w:rsid w:val="003B6D76"/>
    <w:rsid w:val="003C1183"/>
    <w:rsid w:val="004063CB"/>
    <w:rsid w:val="00407C38"/>
    <w:rsid w:val="00435CBC"/>
    <w:rsid w:val="00443D4F"/>
    <w:rsid w:val="0045302D"/>
    <w:rsid w:val="00472E9C"/>
    <w:rsid w:val="00495FCA"/>
    <w:rsid w:val="004A008A"/>
    <w:rsid w:val="004A4DE9"/>
    <w:rsid w:val="004B7668"/>
    <w:rsid w:val="004D5D4F"/>
    <w:rsid w:val="004E019B"/>
    <w:rsid w:val="004F79B4"/>
    <w:rsid w:val="005028E3"/>
    <w:rsid w:val="005129DF"/>
    <w:rsid w:val="0055642E"/>
    <w:rsid w:val="00572700"/>
    <w:rsid w:val="0057628A"/>
    <w:rsid w:val="00590388"/>
    <w:rsid w:val="005B012B"/>
    <w:rsid w:val="005C32D5"/>
    <w:rsid w:val="005C3B73"/>
    <w:rsid w:val="005D1947"/>
    <w:rsid w:val="00604705"/>
    <w:rsid w:val="00616444"/>
    <w:rsid w:val="006219BE"/>
    <w:rsid w:val="00630DBE"/>
    <w:rsid w:val="00664BC4"/>
    <w:rsid w:val="00666814"/>
    <w:rsid w:val="00677939"/>
    <w:rsid w:val="006B7242"/>
    <w:rsid w:val="006F7E50"/>
    <w:rsid w:val="00701876"/>
    <w:rsid w:val="00737E1A"/>
    <w:rsid w:val="007A6715"/>
    <w:rsid w:val="007D1DA3"/>
    <w:rsid w:val="007E16DB"/>
    <w:rsid w:val="007F15FA"/>
    <w:rsid w:val="0080768D"/>
    <w:rsid w:val="008111F6"/>
    <w:rsid w:val="008112ED"/>
    <w:rsid w:val="008124D5"/>
    <w:rsid w:val="008929CE"/>
    <w:rsid w:val="008A2BCC"/>
    <w:rsid w:val="008A551E"/>
    <w:rsid w:val="00932842"/>
    <w:rsid w:val="00933FDD"/>
    <w:rsid w:val="009416A9"/>
    <w:rsid w:val="009559D8"/>
    <w:rsid w:val="00972361"/>
    <w:rsid w:val="00983C90"/>
    <w:rsid w:val="0098765D"/>
    <w:rsid w:val="00997426"/>
    <w:rsid w:val="00A14C37"/>
    <w:rsid w:val="00A272E5"/>
    <w:rsid w:val="00A275E2"/>
    <w:rsid w:val="00A94EDF"/>
    <w:rsid w:val="00AD7BF9"/>
    <w:rsid w:val="00B0151D"/>
    <w:rsid w:val="00B16124"/>
    <w:rsid w:val="00B24036"/>
    <w:rsid w:val="00B3204F"/>
    <w:rsid w:val="00B35B7E"/>
    <w:rsid w:val="00B61ED7"/>
    <w:rsid w:val="00B665DE"/>
    <w:rsid w:val="00B7549C"/>
    <w:rsid w:val="00B9614C"/>
    <w:rsid w:val="00BB193A"/>
    <w:rsid w:val="00BD415C"/>
    <w:rsid w:val="00BF70CD"/>
    <w:rsid w:val="00C01A8F"/>
    <w:rsid w:val="00C25386"/>
    <w:rsid w:val="00C26A8E"/>
    <w:rsid w:val="00C34066"/>
    <w:rsid w:val="00C34EE9"/>
    <w:rsid w:val="00C461F3"/>
    <w:rsid w:val="00C81D7F"/>
    <w:rsid w:val="00CA5F1E"/>
    <w:rsid w:val="00CC24B2"/>
    <w:rsid w:val="00CC2E30"/>
    <w:rsid w:val="00CC5249"/>
    <w:rsid w:val="00CE20A2"/>
    <w:rsid w:val="00CE7C43"/>
    <w:rsid w:val="00D047DE"/>
    <w:rsid w:val="00D07F1F"/>
    <w:rsid w:val="00D76887"/>
    <w:rsid w:val="00D85A37"/>
    <w:rsid w:val="00D97043"/>
    <w:rsid w:val="00DD0EF5"/>
    <w:rsid w:val="00DD5CD7"/>
    <w:rsid w:val="00E04202"/>
    <w:rsid w:val="00E22B1F"/>
    <w:rsid w:val="00E3097A"/>
    <w:rsid w:val="00E42E16"/>
    <w:rsid w:val="00E74A61"/>
    <w:rsid w:val="00E96BEC"/>
    <w:rsid w:val="00EA56BF"/>
    <w:rsid w:val="00EA6733"/>
    <w:rsid w:val="00EC28E7"/>
    <w:rsid w:val="00EE31B2"/>
    <w:rsid w:val="00F06AC9"/>
    <w:rsid w:val="00F078A1"/>
    <w:rsid w:val="00F80FBC"/>
    <w:rsid w:val="00F94239"/>
    <w:rsid w:val="00FA3C07"/>
    <w:rsid w:val="00FC4282"/>
  </w:rsids>
  <m:mathPr>
    <m:mathFont m:val="Cambria Math"/>
    <m:brkBin m:val="before"/>
    <m:brkBinSub m:val="--"/>
    <m:smallFrac m:val="0"/>
    <m:dispDef/>
    <m:lMargin m:val="0"/>
    <m:rMargin m:val="0"/>
    <m:defJc m:val="centerGroup"/>
    <m:wrapIndent m:val="1440"/>
    <m:intLim m:val="subSup"/>
    <m:naryLim m:val="undOvr"/>
  </m:mathPr>
  <w:themeFontLang w:val="en-NO"/>
  <w:clrSchemeMapping w:bg1="light1" w:t1="dark1" w:bg2="light2" w:t2="dark2" w:accent1="accent1" w:accent2="accent2" w:accent3="accent3" w:accent4="accent4" w:accent5="accent5" w:accent6="accent6" w:hyperlink="hyperlink" w:followedHyperlink="followedHyperlink"/>
  <w:decimalSymbol w:val=","/>
  <w:listSeparator w:val=","/>
  <w14:docId w14:val="79F639F0"/>
  <w15:chartTrackingRefBased/>
  <w15:docId w15:val="{5EAE4505-55F0-7143-98E3-0074C06F2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6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65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65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65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65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5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5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5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5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65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65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65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65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65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5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5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5DE"/>
    <w:rPr>
      <w:rFonts w:eastAsiaTheme="majorEastAsia" w:cstheme="majorBidi"/>
      <w:color w:val="272727" w:themeColor="text1" w:themeTint="D8"/>
    </w:rPr>
  </w:style>
  <w:style w:type="paragraph" w:styleId="Title">
    <w:name w:val="Title"/>
    <w:basedOn w:val="Normal"/>
    <w:next w:val="Normal"/>
    <w:link w:val="TitleChar"/>
    <w:uiPriority w:val="10"/>
    <w:qFormat/>
    <w:rsid w:val="00B66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5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5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5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5DE"/>
    <w:pPr>
      <w:spacing w:before="160"/>
      <w:jc w:val="center"/>
    </w:pPr>
    <w:rPr>
      <w:i/>
      <w:iCs/>
      <w:color w:val="404040" w:themeColor="text1" w:themeTint="BF"/>
    </w:rPr>
  </w:style>
  <w:style w:type="character" w:customStyle="1" w:styleId="QuoteChar">
    <w:name w:val="Quote Char"/>
    <w:basedOn w:val="DefaultParagraphFont"/>
    <w:link w:val="Quote"/>
    <w:uiPriority w:val="29"/>
    <w:rsid w:val="00B665DE"/>
    <w:rPr>
      <w:i/>
      <w:iCs/>
      <w:color w:val="404040" w:themeColor="text1" w:themeTint="BF"/>
    </w:rPr>
  </w:style>
  <w:style w:type="paragraph" w:styleId="ListParagraph">
    <w:name w:val="List Paragraph"/>
    <w:basedOn w:val="Normal"/>
    <w:uiPriority w:val="34"/>
    <w:qFormat/>
    <w:rsid w:val="00B665DE"/>
    <w:pPr>
      <w:ind w:left="720"/>
      <w:contextualSpacing/>
    </w:pPr>
  </w:style>
  <w:style w:type="character" w:styleId="IntenseEmphasis">
    <w:name w:val="Intense Emphasis"/>
    <w:basedOn w:val="DefaultParagraphFont"/>
    <w:uiPriority w:val="21"/>
    <w:qFormat/>
    <w:rsid w:val="00B665DE"/>
    <w:rPr>
      <w:i/>
      <w:iCs/>
      <w:color w:val="0F4761" w:themeColor="accent1" w:themeShade="BF"/>
    </w:rPr>
  </w:style>
  <w:style w:type="paragraph" w:styleId="IntenseQuote">
    <w:name w:val="Intense Quote"/>
    <w:basedOn w:val="Normal"/>
    <w:next w:val="Normal"/>
    <w:link w:val="IntenseQuoteChar"/>
    <w:uiPriority w:val="30"/>
    <w:qFormat/>
    <w:rsid w:val="00B66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65DE"/>
    <w:rPr>
      <w:i/>
      <w:iCs/>
      <w:color w:val="0F4761" w:themeColor="accent1" w:themeShade="BF"/>
    </w:rPr>
  </w:style>
  <w:style w:type="character" w:styleId="IntenseReference">
    <w:name w:val="Intense Reference"/>
    <w:basedOn w:val="DefaultParagraphFont"/>
    <w:uiPriority w:val="32"/>
    <w:qFormat/>
    <w:rsid w:val="00B665DE"/>
    <w:rPr>
      <w:b/>
      <w:bCs/>
      <w:smallCaps/>
      <w:color w:val="0F4761" w:themeColor="accent1" w:themeShade="BF"/>
      <w:spacing w:val="5"/>
    </w:rPr>
  </w:style>
  <w:style w:type="paragraph" w:styleId="NormalWeb">
    <w:name w:val="Normal (Web)"/>
    <w:basedOn w:val="Normal"/>
    <w:uiPriority w:val="99"/>
    <w:semiHidden/>
    <w:unhideWhenUsed/>
    <w:rsid w:val="001F049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979923">
      <w:bodyDiv w:val="1"/>
      <w:marLeft w:val="0"/>
      <w:marRight w:val="0"/>
      <w:marTop w:val="0"/>
      <w:marBottom w:val="0"/>
      <w:divBdr>
        <w:top w:val="none" w:sz="0" w:space="0" w:color="auto"/>
        <w:left w:val="none" w:sz="0" w:space="0" w:color="auto"/>
        <w:bottom w:val="none" w:sz="0" w:space="0" w:color="auto"/>
        <w:right w:val="none" w:sz="0" w:space="0" w:color="auto"/>
      </w:divBdr>
    </w:div>
    <w:div w:id="950092548">
      <w:bodyDiv w:val="1"/>
      <w:marLeft w:val="0"/>
      <w:marRight w:val="0"/>
      <w:marTop w:val="0"/>
      <w:marBottom w:val="0"/>
      <w:divBdr>
        <w:top w:val="none" w:sz="0" w:space="0" w:color="auto"/>
        <w:left w:val="none" w:sz="0" w:space="0" w:color="auto"/>
        <w:bottom w:val="none" w:sz="0" w:space="0" w:color="auto"/>
        <w:right w:val="none" w:sz="0" w:space="0" w:color="auto"/>
      </w:divBdr>
    </w:div>
    <w:div w:id="954556053">
      <w:bodyDiv w:val="1"/>
      <w:marLeft w:val="0"/>
      <w:marRight w:val="0"/>
      <w:marTop w:val="0"/>
      <w:marBottom w:val="0"/>
      <w:divBdr>
        <w:top w:val="none" w:sz="0" w:space="0" w:color="auto"/>
        <w:left w:val="none" w:sz="0" w:space="0" w:color="auto"/>
        <w:bottom w:val="none" w:sz="0" w:space="0" w:color="auto"/>
        <w:right w:val="none" w:sz="0" w:space="0" w:color="auto"/>
      </w:divBdr>
      <w:divsChild>
        <w:div w:id="476344252">
          <w:marLeft w:val="0"/>
          <w:marRight w:val="0"/>
          <w:marTop w:val="0"/>
          <w:marBottom w:val="0"/>
          <w:divBdr>
            <w:top w:val="none" w:sz="0" w:space="0" w:color="auto"/>
            <w:left w:val="none" w:sz="0" w:space="0" w:color="auto"/>
            <w:bottom w:val="none" w:sz="0" w:space="0" w:color="auto"/>
            <w:right w:val="none" w:sz="0" w:space="0" w:color="auto"/>
          </w:divBdr>
          <w:divsChild>
            <w:div w:id="1562597299">
              <w:marLeft w:val="0"/>
              <w:marRight w:val="0"/>
              <w:marTop w:val="0"/>
              <w:marBottom w:val="0"/>
              <w:divBdr>
                <w:top w:val="none" w:sz="0" w:space="0" w:color="auto"/>
                <w:left w:val="none" w:sz="0" w:space="0" w:color="auto"/>
                <w:bottom w:val="none" w:sz="0" w:space="0" w:color="auto"/>
                <w:right w:val="none" w:sz="0" w:space="0" w:color="auto"/>
              </w:divBdr>
              <w:divsChild>
                <w:div w:id="26923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8755526">
      <w:bodyDiv w:val="1"/>
      <w:marLeft w:val="0"/>
      <w:marRight w:val="0"/>
      <w:marTop w:val="0"/>
      <w:marBottom w:val="0"/>
      <w:divBdr>
        <w:top w:val="none" w:sz="0" w:space="0" w:color="auto"/>
        <w:left w:val="none" w:sz="0" w:space="0" w:color="auto"/>
        <w:bottom w:val="none" w:sz="0" w:space="0" w:color="auto"/>
        <w:right w:val="none" w:sz="0" w:space="0" w:color="auto"/>
      </w:divBdr>
    </w:div>
    <w:div w:id="1683625310">
      <w:bodyDiv w:val="1"/>
      <w:marLeft w:val="0"/>
      <w:marRight w:val="0"/>
      <w:marTop w:val="0"/>
      <w:marBottom w:val="0"/>
      <w:divBdr>
        <w:top w:val="none" w:sz="0" w:space="0" w:color="auto"/>
        <w:left w:val="none" w:sz="0" w:space="0" w:color="auto"/>
        <w:bottom w:val="none" w:sz="0" w:space="0" w:color="auto"/>
        <w:right w:val="none" w:sz="0" w:space="0" w:color="auto"/>
      </w:divBdr>
    </w:div>
    <w:div w:id="1881626944">
      <w:bodyDiv w:val="1"/>
      <w:marLeft w:val="0"/>
      <w:marRight w:val="0"/>
      <w:marTop w:val="0"/>
      <w:marBottom w:val="0"/>
      <w:divBdr>
        <w:top w:val="none" w:sz="0" w:space="0" w:color="auto"/>
        <w:left w:val="none" w:sz="0" w:space="0" w:color="auto"/>
        <w:bottom w:val="none" w:sz="0" w:space="0" w:color="auto"/>
        <w:right w:val="none" w:sz="0" w:space="0" w:color="auto"/>
      </w:divBdr>
      <w:divsChild>
        <w:div w:id="104035219">
          <w:marLeft w:val="0"/>
          <w:marRight w:val="0"/>
          <w:marTop w:val="0"/>
          <w:marBottom w:val="0"/>
          <w:divBdr>
            <w:top w:val="none" w:sz="0" w:space="0" w:color="auto"/>
            <w:left w:val="none" w:sz="0" w:space="0" w:color="auto"/>
            <w:bottom w:val="none" w:sz="0" w:space="0" w:color="auto"/>
            <w:right w:val="none" w:sz="0" w:space="0" w:color="auto"/>
          </w:divBdr>
          <w:divsChild>
            <w:div w:id="1258752688">
              <w:marLeft w:val="0"/>
              <w:marRight w:val="0"/>
              <w:marTop w:val="0"/>
              <w:marBottom w:val="0"/>
              <w:divBdr>
                <w:top w:val="none" w:sz="0" w:space="0" w:color="auto"/>
                <w:left w:val="none" w:sz="0" w:space="0" w:color="auto"/>
                <w:bottom w:val="none" w:sz="0" w:space="0" w:color="auto"/>
                <w:right w:val="none" w:sz="0" w:space="0" w:color="auto"/>
              </w:divBdr>
              <w:divsChild>
                <w:div w:id="21300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207</TotalTime>
  <Pages>7</Pages>
  <Words>801</Words>
  <Characters>4568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Camacho</dc:creator>
  <cp:keywords/>
  <dc:description/>
  <cp:lastModifiedBy>Lucas Camacho</cp:lastModifiedBy>
  <cp:revision>162</cp:revision>
  <dcterms:created xsi:type="dcterms:W3CDTF">2026-08-12T11:47:00Z</dcterms:created>
  <dcterms:modified xsi:type="dcterms:W3CDTF">2026-08-27T09:57:00Z</dcterms:modified>
</cp:coreProperties>
</file>