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Calibri" w:hAnsi="Calibri"/>
          <w:b/>
          <w:sz w:val="28"/>
        </w:rPr>
        <w:t>Universidad de Palermo</w:t>
      </w:r>
    </w:p>
    <w:p>
      <w:pPr>
        <w:jc w:val="center"/>
      </w:pPr>
      <w:r>
        <w:rPr>
          <w:rFonts w:ascii="Calibri" w:hAnsi="Calibri"/>
          <w:sz w:val="24"/>
        </w:rPr>
        <w:t>Facultad de Ingeniería</w:t>
      </w:r>
    </w:p>
    <w:p>
      <w:pPr>
        <w:jc w:val="center"/>
      </w:pPr>
      <w:r>
        <w:rPr>
          <w:rFonts w:ascii="Calibri" w:hAnsi="Calibri"/>
          <w:i/>
          <w:sz w:val="22"/>
        </w:rPr>
        <w:t>Ingeniería / Licenciatura en Inteligencia Artificial</w:t>
      </w:r>
    </w:p>
    <w:p/>
    <w:p/>
    <w:p>
      <w:pPr>
        <w:jc w:val="center"/>
      </w:pPr>
      <w:r>
        <w:rPr>
          <w:rFonts w:ascii="Calibri" w:hAnsi="Calibri"/>
          <w:b/>
          <w:color w:val="1F4E79"/>
          <w:sz w:val="26"/>
        </w:rPr>
        <w:t>Procesamiento de Lenguaje Natural</w:t>
      </w:r>
    </w:p>
    <w:p/>
    <w:p>
      <w:pPr>
        <w:jc w:val="center"/>
      </w:pPr>
      <w:r>
        <w:rPr>
          <w:rFonts w:ascii="Calibri" w:hAnsi="Calibri"/>
          <w:b/>
          <w:color w:val="1F4E79"/>
          <w:sz w:val="36"/>
        </w:rPr>
        <w:t>TRABAJO INTEGRADOR — INFORME FINAL</w:t>
      </w:r>
    </w:p>
    <w:p/>
    <w:p>
      <w:pPr>
        <w:jc w:val="center"/>
      </w:pPr>
      <w:r>
        <w:rPr>
          <w:rFonts w:ascii="Calibri" w:hAnsi="Calibri"/>
          <w:b/>
          <w:sz w:val="30"/>
        </w:rPr>
        <w:t>Buscador Semántico de Películas</w:t>
      </w:r>
    </w:p>
    <w:p/>
    <w:p/>
    <w:p>
      <w:pPr>
        <w:jc w:val="center"/>
      </w:pPr>
      <w:r>
        <w:rPr>
          <w:rFonts w:ascii="Calibri" w:hAnsi="Calibri"/>
          <w:b/>
          <w:sz w:val="24"/>
        </w:rPr>
        <w:t>Grupo 2</w:t>
      </w:r>
    </w:p>
    <w:p>
      <w:pPr>
        <w:spacing w:after="40"/>
        <w:jc w:val="center"/>
      </w:pPr>
      <w:r>
        <w:rPr>
          <w:rFonts w:ascii="Calibri" w:hAnsi="Calibri"/>
          <w:sz w:val="22"/>
        </w:rPr>
        <w:t>Carmusciano, Lucas  ·  Legajo 0136221</w:t>
      </w:r>
    </w:p>
    <w:p>
      <w:pPr>
        <w:spacing w:after="40"/>
        <w:jc w:val="center"/>
      </w:pPr>
      <w:r>
        <w:rPr>
          <w:rFonts w:ascii="Calibri" w:hAnsi="Calibri"/>
          <w:sz w:val="22"/>
        </w:rPr>
        <w:t>Minnaar, Santiago  ·  Legajo 0142480</w:t>
      </w:r>
    </w:p>
    <w:p>
      <w:pPr>
        <w:spacing w:after="40"/>
        <w:jc w:val="center"/>
      </w:pPr>
      <w:r>
        <w:rPr>
          <w:rFonts w:ascii="Calibri" w:hAnsi="Calibri"/>
          <w:sz w:val="22"/>
        </w:rPr>
        <w:t>Cocco, Magdalena  ·  Legajo 0133718</w:t>
      </w:r>
    </w:p>
    <w:p>
      <w:pPr>
        <w:spacing w:after="40"/>
        <w:jc w:val="center"/>
      </w:pPr>
      <w:r>
        <w:rPr>
          <w:rFonts w:ascii="Calibri" w:hAnsi="Calibri"/>
          <w:sz w:val="22"/>
        </w:rPr>
        <w:t>Medina, Jimena  ·  Legajo 0147233</w:t>
      </w:r>
    </w:p>
    <w:p/>
    <w:p>
      <w:pPr>
        <w:jc w:val="center"/>
      </w:pPr>
      <w:r>
        <w:rPr>
          <w:rFonts w:ascii="Calibri" w:hAnsi="Calibri"/>
          <w:i/>
          <w:sz w:val="22"/>
        </w:rPr>
        <w:t>Docente: Víctor Ezequiel Muñoz</w:t>
      </w:r>
    </w:p>
    <w:p>
      <w:pPr>
        <w:jc w:val="center"/>
      </w:pPr>
      <w:r>
        <w:rPr>
          <w:rFonts w:ascii="Calibri" w:hAnsi="Calibri"/>
          <w:sz w:val="22"/>
        </w:rPr>
        <w:t>Junio 2026</w:t>
      </w:r>
    </w:p>
    <w:p>
      <w:r>
        <w:br w:type="page"/>
      </w:r>
    </w:p>
    <w:p>
      <w:pPr>
        <w:pStyle w:val="Heading1"/>
      </w:pPr>
      <w:r>
        <w:rPr>
          <w:rFonts w:ascii="Calibri" w:hAnsi="Calibri"/>
          <w:color w:val="1F4E79"/>
        </w:rPr>
        <w:t>1. Introducción</w:t>
      </w:r>
    </w:p>
    <w:p>
      <w:pPr>
        <w:spacing w:before="0" w:after="160"/>
      </w:pPr>
      <w:r>
        <w:rPr>
          <w:rFonts w:ascii="Calibri" w:hAnsi="Calibri"/>
          <w:b w:val="0"/>
          <w:i w:val="0"/>
          <w:sz w:val="22"/>
        </w:rPr>
        <w:t>La búsqueda de películas en plataformas digitales se apoya habitualmente en coincidencias exactas de título, género o nombre de actor. Este mecanismo léxico falla cuando el usuario solo recuerda una descripción vaga o parcial: "una película donde el protagonista pierde la memoria y hay viajes en el tiempo". En ese escenario el sistema no encuentra ningún resultado, pese a que la película existe en el catálogo.</w:t>
      </w:r>
    </w:p>
    <w:p>
      <w:pPr>
        <w:spacing w:before="0" w:after="80"/>
      </w:pPr>
      <w:r>
        <w:rPr>
          <w:rFonts w:ascii="Calibri" w:hAnsi="Calibri"/>
          <w:b w:val="0"/>
          <w:i w:val="0"/>
          <w:sz w:val="22"/>
        </w:rPr>
        <w:t>El presente trabajo desarrolla un sistema de búsqueda semántica de películas que interpreta descripciones libres en lenguaje natural y recupera los títulos cuya información textual es semánticamente más similar a la consulta. El sistema compara dos enfoques de recuperación de información:</w:t>
      </w:r>
    </w:p>
    <w:p>
      <w:pPr>
        <w:pStyle w:val="ListBullet"/>
        <w:spacing w:after="60"/>
      </w:pPr>
      <w:r>
        <w:rPr>
          <w:rFonts w:ascii="Calibri" w:hAnsi="Calibri"/>
          <w:sz w:val="22"/>
        </w:rPr>
        <w:t>Baseline léxico: TF-IDF con similitud coseno.</w:t>
      </w:r>
    </w:p>
    <w:p>
      <w:pPr>
        <w:pStyle w:val="ListBullet"/>
        <w:spacing w:after="60"/>
      </w:pPr>
      <w:r>
        <w:rPr>
          <w:rFonts w:ascii="Calibri" w:hAnsi="Calibri"/>
          <w:sz w:val="22"/>
        </w:rPr>
        <w:t>Enfoque semántico: embeddings densos (Sentence-BERT) con similitud coseno.</w:t>
      </w:r>
    </w:p>
    <w:p>
      <w:pPr>
        <w:spacing w:before="80" w:after="160"/>
      </w:pPr>
      <w:r>
        <w:rPr>
          <w:rFonts w:ascii="Calibri" w:hAnsi="Calibri"/>
          <w:b w:val="0"/>
          <w:i w:val="0"/>
          <w:sz w:val="22"/>
        </w:rPr>
        <w:t>Ambos enfoques se evalúan cuantitativamente con dos metodologías complementarias derivadas del estándar Cranfield/TREC: búsqueda por ítem conocido (Hit Rate@K y MRR) y búsqueda ad hoc con relevancia múltiple y graduada (P@10, MAP y nDCG@10).</w:t>
      </w:r>
    </w:p>
    <w:p>
      <w:pPr>
        <w:pStyle w:val="Heading1"/>
      </w:pPr>
      <w:r>
        <w:rPr>
          <w:rFonts w:ascii="Calibri" w:hAnsi="Calibri"/>
          <w:color w:val="1F4E79"/>
        </w:rPr>
        <w:t>2. Dataset</w:t>
      </w:r>
    </w:p>
    <w:p>
      <w:pPr>
        <w:spacing w:before="0" w:after="160"/>
      </w:pPr>
      <w:r>
        <w:rPr>
          <w:rFonts w:ascii="Calibri" w:hAnsi="Calibri"/>
          <w:b w:val="0"/>
          <w:i w:val="0"/>
          <w:sz w:val="22"/>
        </w:rPr>
        <w:t>El dataset fue construido mediante un script de extracción que consume la API pública de The Movie Database (TMDB). El script realiza consultas paginadas para obtener las películas más populares y, para cada una, recupera los campos de detalle: sinopsis, géneros, palabras clave (keywords) y elenco (cast). El resultado se serializa en un archivo CSV que actúa como base de datos estática del sistema.</w:t>
      </w:r>
    </w:p>
    <w:p>
      <w:pPr>
        <w:pStyle w:val="Heading2"/>
      </w:pPr>
      <w:r>
        <w:rPr>
          <w:rFonts w:ascii="Calibri" w:hAnsi="Calibri"/>
        </w:rPr>
        <w:t>2.1 Características del dataset</w:t>
      </w:r>
    </w:p>
    <w:p>
      <w:pPr>
        <w:pStyle w:val="ListBullet"/>
        <w:spacing w:after="60"/>
      </w:pPr>
      <w:r>
        <w:rPr>
          <w:rFonts w:ascii="Calibri" w:hAnsi="Calibri"/>
          <w:sz w:val="22"/>
        </w:rPr>
        <w:t>Tamaño original: 1.000 películas.</w:t>
      </w:r>
    </w:p>
    <w:p>
      <w:pPr>
        <w:pStyle w:val="ListBullet"/>
        <w:spacing w:after="60"/>
      </w:pPr>
      <w:r>
        <w:rPr>
          <w:rFonts w:ascii="Calibri" w:hAnsi="Calibri"/>
          <w:sz w:val="22"/>
        </w:rPr>
        <w:t>Tras eliminación de duplicados por título: 996 registros únicos.</w:t>
      </w:r>
    </w:p>
    <w:p>
      <w:pPr>
        <w:pStyle w:val="ListBullet"/>
        <w:spacing w:after="60"/>
      </w:pPr>
      <w:r>
        <w:rPr>
          <w:rFonts w:ascii="Calibri" w:hAnsi="Calibri"/>
          <w:sz w:val="22"/>
        </w:rPr>
        <w:t>Idioma: inglés (campos de sinopsis y keywords provistos por TMDB en inglés).</w:t>
      </w:r>
    </w:p>
    <w:p>
      <w:pPr>
        <w:pStyle w:val="ListBullet"/>
        <w:spacing w:after="60"/>
      </w:pPr>
      <w:r>
        <w:rPr>
          <w:rFonts w:ascii="Calibri" w:hAnsi="Calibri"/>
          <w:sz w:val="22"/>
        </w:rPr>
        <w:t>Valores nulos: 86 registros sin tagline; resto de campos completos.</w:t>
      </w:r>
    </w:p>
    <w:p>
      <w:pPr>
        <w:spacing w:before="120" w:after="80"/>
      </w:pPr>
      <w:r>
        <w:rPr>
          <w:rFonts w:ascii="Calibri" w:hAnsi="Calibri"/>
          <w:b w:val="0"/>
          <w:i w:val="0"/>
          <w:sz w:val="22"/>
        </w:rPr>
        <w:t>Los campos utilizados para la representación textual son:</w:t>
      </w:r>
    </w:p>
    <w:tbl>
      <w:tblPr>
        <w:tblStyle w:val="TableGrid"/>
        <w:tblW w:type="auto" w:w="0"/>
        <w:tblLook w:firstColumn="1" w:firstRow="1" w:lastColumn="0" w:lastRow="0" w:noHBand="0" w:noVBand="1" w:val="04A0"/>
      </w:tblPr>
      <w:tblGrid>
        <w:gridCol w:w="4419"/>
        <w:gridCol w:w="4419"/>
      </w:tblGrid>
      <w:tr>
        <w:tc>
          <w:tcPr>
            <w:tcW w:type="dxa" w:w="2268"/>
            <w:shd w:val="clear" w:color="auto" w:fill="1F4E79"/>
          </w:tcPr>
          <w:p>
            <w:pPr>
              <w:jc w:val="center"/>
            </w:pPr>
            <w:r>
              <w:rPr>
                <w:rFonts w:ascii="Calibri" w:hAnsi="Calibri"/>
                <w:b/>
                <w:color w:val="FFFFFF"/>
                <w:sz w:val="20"/>
              </w:rPr>
              <w:t>Campo</w:t>
            </w:r>
          </w:p>
        </w:tc>
        <w:tc>
          <w:tcPr>
            <w:tcW w:type="dxa" w:w="6236"/>
            <w:shd w:val="clear" w:color="auto" w:fill="1F4E79"/>
          </w:tcPr>
          <w:p>
            <w:pPr>
              <w:jc w:val="center"/>
            </w:pPr>
            <w:r>
              <w:rPr>
                <w:rFonts w:ascii="Calibri" w:hAnsi="Calibri"/>
                <w:b/>
                <w:color w:val="FFFFFF"/>
                <w:sz w:val="20"/>
              </w:rPr>
              <w:t>Descripción</w:t>
            </w:r>
          </w:p>
        </w:tc>
      </w:tr>
      <w:tr>
        <w:tc>
          <w:tcPr>
            <w:tcW w:type="dxa" w:w="2268"/>
          </w:tcPr>
          <w:p>
            <w:pPr>
              <w:jc w:val="center"/>
            </w:pPr>
            <w:r>
              <w:rPr>
                <w:rFonts w:ascii="Calibri" w:hAnsi="Calibri"/>
                <w:sz w:val="20"/>
              </w:rPr>
              <w:t>title</w:t>
            </w:r>
          </w:p>
        </w:tc>
        <w:tc>
          <w:tcPr>
            <w:tcW w:type="dxa" w:w="6236"/>
          </w:tcPr>
          <w:p>
            <w:pPr>
              <w:jc w:val="center"/>
            </w:pPr>
            <w:r>
              <w:rPr>
                <w:rFonts w:ascii="Calibri" w:hAnsi="Calibri"/>
                <w:sz w:val="20"/>
              </w:rPr>
              <w:t>Título de la película</w:t>
            </w:r>
          </w:p>
        </w:tc>
      </w:tr>
      <w:tr>
        <w:tc>
          <w:tcPr>
            <w:tcW w:type="dxa" w:w="2268"/>
            <w:shd w:val="clear" w:color="auto" w:fill="D6E4F7"/>
          </w:tcPr>
          <w:p>
            <w:pPr>
              <w:jc w:val="center"/>
            </w:pPr>
            <w:r>
              <w:rPr>
                <w:rFonts w:ascii="Calibri" w:hAnsi="Calibri"/>
                <w:sz w:val="20"/>
              </w:rPr>
              <w:t>overview</w:t>
            </w:r>
          </w:p>
        </w:tc>
        <w:tc>
          <w:tcPr>
            <w:tcW w:type="dxa" w:w="6236"/>
            <w:shd w:val="clear" w:color="auto" w:fill="D6E4F7"/>
          </w:tcPr>
          <w:p>
            <w:pPr>
              <w:jc w:val="center"/>
            </w:pPr>
            <w:r>
              <w:rPr>
                <w:rFonts w:ascii="Calibri" w:hAnsi="Calibri"/>
                <w:sz w:val="20"/>
              </w:rPr>
              <w:t>Sinopsis (descripción argumental)</w:t>
            </w:r>
          </w:p>
        </w:tc>
      </w:tr>
      <w:tr>
        <w:tc>
          <w:tcPr>
            <w:tcW w:type="dxa" w:w="2268"/>
          </w:tcPr>
          <w:p>
            <w:pPr>
              <w:jc w:val="center"/>
            </w:pPr>
            <w:r>
              <w:rPr>
                <w:rFonts w:ascii="Calibri" w:hAnsi="Calibri"/>
                <w:sz w:val="20"/>
              </w:rPr>
              <w:t>genres</w:t>
            </w:r>
          </w:p>
        </w:tc>
        <w:tc>
          <w:tcPr>
            <w:tcW w:type="dxa" w:w="6236"/>
          </w:tcPr>
          <w:p>
            <w:pPr>
              <w:jc w:val="center"/>
            </w:pPr>
            <w:r>
              <w:rPr>
                <w:rFonts w:ascii="Calibri" w:hAnsi="Calibri"/>
                <w:sz w:val="20"/>
              </w:rPr>
              <w:t>Lista de géneros (ej. ["Action", "Drama"])</w:t>
            </w:r>
          </w:p>
        </w:tc>
      </w:tr>
      <w:tr>
        <w:tc>
          <w:tcPr>
            <w:tcW w:type="dxa" w:w="2268"/>
            <w:shd w:val="clear" w:color="auto" w:fill="D6E4F7"/>
          </w:tcPr>
          <w:p>
            <w:pPr>
              <w:jc w:val="center"/>
            </w:pPr>
            <w:r>
              <w:rPr>
                <w:rFonts w:ascii="Calibri" w:hAnsi="Calibri"/>
                <w:sz w:val="20"/>
              </w:rPr>
              <w:t>keywords</w:t>
            </w:r>
          </w:p>
        </w:tc>
        <w:tc>
          <w:tcPr>
            <w:tcW w:type="dxa" w:w="6236"/>
            <w:shd w:val="clear" w:color="auto" w:fill="D6E4F7"/>
          </w:tcPr>
          <w:p>
            <w:pPr>
              <w:jc w:val="center"/>
            </w:pPr>
            <w:r>
              <w:rPr>
                <w:rFonts w:ascii="Calibri" w:hAnsi="Calibri"/>
                <w:sz w:val="20"/>
              </w:rPr>
              <w:t>Lista de palabras clave temáticas</w:t>
            </w:r>
          </w:p>
        </w:tc>
      </w:tr>
      <w:tr>
        <w:tc>
          <w:tcPr>
            <w:tcW w:type="dxa" w:w="2268"/>
          </w:tcPr>
          <w:p>
            <w:pPr>
              <w:jc w:val="center"/>
            </w:pPr>
            <w:r>
              <w:rPr>
                <w:rFonts w:ascii="Calibri" w:hAnsi="Calibri"/>
                <w:sz w:val="20"/>
              </w:rPr>
              <w:t>cast</w:t>
            </w:r>
          </w:p>
        </w:tc>
        <w:tc>
          <w:tcPr>
            <w:tcW w:type="dxa" w:w="6236"/>
          </w:tcPr>
          <w:p>
            <w:pPr>
              <w:jc w:val="center"/>
            </w:pPr>
            <w:r>
              <w:rPr>
                <w:rFonts w:ascii="Calibri" w:hAnsi="Calibri"/>
                <w:sz w:val="20"/>
              </w:rPr>
              <w:t>Lista de actores principales (hasta 5)</w:t>
            </w:r>
          </w:p>
        </w:tc>
      </w:tr>
      <w:tr>
        <w:tc>
          <w:tcPr>
            <w:tcW w:type="dxa" w:w="2268"/>
            <w:shd w:val="clear" w:color="auto" w:fill="D6E4F7"/>
          </w:tcPr>
          <w:p>
            <w:pPr>
              <w:jc w:val="center"/>
            </w:pPr>
            <w:r>
              <w:rPr>
                <w:rFonts w:ascii="Calibri" w:hAnsi="Calibri"/>
                <w:sz w:val="20"/>
              </w:rPr>
              <w:t>directors</w:t>
            </w:r>
          </w:p>
        </w:tc>
        <w:tc>
          <w:tcPr>
            <w:tcW w:type="dxa" w:w="6236"/>
            <w:shd w:val="clear" w:color="auto" w:fill="D6E4F7"/>
          </w:tcPr>
          <w:p>
            <w:pPr>
              <w:jc w:val="center"/>
            </w:pPr>
            <w:r>
              <w:rPr>
                <w:rFonts w:ascii="Calibri" w:hAnsi="Calibri"/>
                <w:sz w:val="20"/>
              </w:rPr>
              <w:t>Director(es)</w:t>
            </w:r>
          </w:p>
        </w:tc>
      </w:tr>
      <w:tr>
        <w:tc>
          <w:tcPr>
            <w:tcW w:type="dxa" w:w="2268"/>
          </w:tcPr>
          <w:p>
            <w:pPr>
              <w:jc w:val="center"/>
            </w:pPr>
            <w:r>
              <w:rPr>
                <w:rFonts w:ascii="Calibri" w:hAnsi="Calibri"/>
                <w:sz w:val="20"/>
              </w:rPr>
              <w:t>release_year</w:t>
            </w:r>
          </w:p>
        </w:tc>
        <w:tc>
          <w:tcPr>
            <w:tcW w:type="dxa" w:w="6236"/>
          </w:tcPr>
          <w:p>
            <w:pPr>
              <w:jc w:val="center"/>
            </w:pPr>
            <w:r>
              <w:rPr>
                <w:rFonts w:ascii="Calibri" w:hAnsi="Calibri"/>
                <w:sz w:val="20"/>
              </w:rPr>
              <w:t>Año de estreno</w:t>
            </w:r>
          </w:p>
        </w:tc>
      </w:tr>
      <w:tr>
        <w:tc>
          <w:tcPr>
            <w:tcW w:type="dxa" w:w="2268"/>
            <w:shd w:val="clear" w:color="auto" w:fill="D6E4F7"/>
          </w:tcPr>
          <w:p>
            <w:pPr>
              <w:jc w:val="center"/>
            </w:pPr>
            <w:r>
              <w:rPr>
                <w:rFonts w:ascii="Calibri" w:hAnsi="Calibri"/>
                <w:sz w:val="20"/>
              </w:rPr>
              <w:t>vote_average</w:t>
            </w:r>
          </w:p>
        </w:tc>
        <w:tc>
          <w:tcPr>
            <w:tcW w:type="dxa" w:w="6236"/>
            <w:shd w:val="clear" w:color="auto" w:fill="D6E4F7"/>
          </w:tcPr>
          <w:p>
            <w:pPr>
              <w:jc w:val="center"/>
            </w:pPr>
            <w:r>
              <w:rPr>
                <w:rFonts w:ascii="Calibri" w:hAnsi="Calibri"/>
                <w:sz w:val="20"/>
              </w:rPr>
              <w:t>Puntuación promedio TMDB</w:t>
            </w:r>
          </w:p>
        </w:tc>
      </w:tr>
    </w:tbl>
    <w:p/>
    <w:p>
      <w:pPr>
        <w:pStyle w:val="Heading1"/>
      </w:pPr>
      <w:r>
        <w:rPr>
          <w:rFonts w:ascii="Calibri" w:hAnsi="Calibri"/>
          <w:color w:val="1F4E79"/>
        </w:rPr>
        <w:t>3. Metodología</w:t>
      </w:r>
    </w:p>
    <w:p>
      <w:pPr>
        <w:pStyle w:val="Heading2"/>
      </w:pPr>
      <w:r>
        <w:rPr>
          <w:rFonts w:ascii="Calibri" w:hAnsi="Calibri"/>
        </w:rPr>
        <w:t>3.1 Representación textual enriquecida</w:t>
      </w:r>
    </w:p>
    <w:p>
      <w:pPr>
        <w:spacing w:before="0" w:after="80"/>
      </w:pPr>
      <w:r>
        <w:rPr>
          <w:rFonts w:ascii="Calibri" w:hAnsi="Calibri"/>
          <w:b w:val="0"/>
          <w:i w:val="0"/>
          <w:sz w:val="22"/>
        </w:rPr>
        <w:t>Para cada película se construye un único texto consolidado (search_text) que integra los campos más informativos en un formato estructurado y etiquetado:</w:t>
      </w:r>
    </w:p>
    <w:p>
      <w:pPr>
        <w:spacing w:after="160"/>
        <w:ind w:left="680"/>
      </w:pPr>
      <w:r>
        <w:rPr>
          <w:rFonts w:ascii="Courier New" w:hAnsi="Courier New"/>
          <w:color w:val="00467F"/>
          <w:sz w:val="19"/>
        </w:rPr>
        <w:t>Title: {título}. Genres: {géneros}. Keywords: {keywords}. Cast: {elenco}. Overview: {sinopsis}.</w:t>
      </w:r>
    </w:p>
    <w:p>
      <w:pPr>
        <w:spacing w:before="0" w:after="80"/>
      </w:pPr>
      <w:r>
        <w:rPr>
          <w:rFonts w:ascii="Calibri" w:hAnsi="Calibri"/>
          <w:b w:val="0"/>
          <w:i w:val="0"/>
          <w:sz w:val="22"/>
        </w:rPr>
        <w:t>Esta representación unificada es la entrada tanto del modelo TF-IDF como del modelo de embeddings, lo que garantiza una comparación justa entre ambos enfoques.</w:t>
      </w:r>
    </w:p>
    <w:p>
      <w:pPr>
        <w:spacing w:before="0" w:after="160"/>
      </w:pPr>
      <w:r>
        <w:rPr>
          <w:rFonts w:ascii="Calibri" w:hAnsi="Calibri"/>
          <w:b w:val="0"/>
          <w:i w:val="0"/>
          <w:sz w:val="22"/>
        </w:rPr>
        <w:t>Para las keywords se aplica un límite de 8 ítems por película. Esta decisión se tomó tras analizar que el modelo de embeddings tiene un límite de 514 tokens por secuencia: sin restricción, algunas películas alcanzaban hasta 589 tokens. Con el límite de 8 keywords, el texto más largo del dataset queda en 315 tokens, eliminando todo truncamiento durante la vectorización.</w:t>
      </w:r>
    </w:p>
    <w:p>
      <w:pPr>
        <w:pStyle w:val="Heading2"/>
      </w:pPr>
      <w:r>
        <w:rPr>
          <w:rFonts w:ascii="Calibri" w:hAnsi="Calibri"/>
        </w:rPr>
        <w:t>3.2 Baseline léxico: TF-IDF + similitud coseno</w:t>
      </w:r>
    </w:p>
    <w:p>
      <w:pPr>
        <w:spacing w:before="0" w:after="80"/>
      </w:pPr>
      <w:r>
        <w:rPr>
          <w:rFonts w:ascii="Calibri" w:hAnsi="Calibri"/>
          <w:b w:val="0"/>
          <w:i w:val="0"/>
          <w:sz w:val="22"/>
        </w:rPr>
        <w:t>El baseline representa cada película como un vector TF-IDF (Term Frequency–Inverse Document Frequency) calculado sobre los 5.000 términos más frecuentes del corpus, con eliminación de stopwords en inglés. La recuperación se realiza calculando la similitud coseno entre el vector de la consulta y los vectores de las 996 películas, devolviendo las K más similares.</w:t>
      </w:r>
    </w:p>
    <w:p>
      <w:pPr>
        <w:spacing w:before="0" w:after="160"/>
      </w:pPr>
      <w:r>
        <w:rPr>
          <w:rFonts w:ascii="Calibri" w:hAnsi="Calibri"/>
          <w:b w:val="0"/>
          <w:i w:val="0"/>
          <w:sz w:val="22"/>
        </w:rPr>
        <w:t>Este enfoque captura coincidencias léxicas exactas. Su principal limitación es que no puede relacionar términos semánticamente equivalentes que no comparten la misma forma (p. ej., "spy" y "espionaje", o "heist" y "robo").</w:t>
      </w:r>
    </w:p>
    <w:p>
      <w:pPr>
        <w:pStyle w:val="Heading2"/>
      </w:pPr>
      <w:r>
        <w:rPr>
          <w:rFonts w:ascii="Calibri" w:hAnsi="Calibri"/>
        </w:rPr>
        <w:t>3.3 Enfoque semántico: embeddings (Sentence-BERT)</w:t>
      </w:r>
    </w:p>
    <w:p>
      <w:pPr>
        <w:spacing w:before="0" w:after="80"/>
      </w:pPr>
      <w:r>
        <w:rPr>
          <w:rFonts w:ascii="Calibri" w:hAnsi="Calibri"/>
          <w:b w:val="0"/>
          <w:i w:val="0"/>
          <w:sz w:val="22"/>
        </w:rPr>
        <w:t>El enfoque semántico utiliza el modelo preentrenado all-mpnet-base-v2 de la biblioteca sentence-transformers para generar embeddings densos de 768 dimensiones. Este modelo, basado en la arquitectura MPNet con ajuste fino para tareas de similitud semántica, soporta hasta 514 tokens de entrada y produce vectores que capturan el significado abstracto del texto.</w:t>
      </w:r>
    </w:p>
    <w:p>
      <w:pPr>
        <w:spacing w:before="0" w:after="80"/>
      </w:pPr>
      <w:r>
        <w:rPr>
          <w:rFonts w:ascii="Calibri" w:hAnsi="Calibri"/>
          <w:b w:val="0"/>
          <w:i w:val="0"/>
          <w:sz w:val="22"/>
        </w:rPr>
        <w:t>La recuperación se realiza calculando la similitud coseno entre el embedding de la consulta y la matriz de embeddings de las 996 películas (matriz de 996 × 768). A diferencia de TF-IDF, este enfoque puede asociar descripciones semánticamente equivalentes aunque usen vocabulario diferente.</w:t>
      </w:r>
    </w:p>
    <w:tbl>
      <w:tblPr>
        <w:tblStyle w:val="TableGrid"/>
        <w:tblW w:type="auto" w:w="0"/>
        <w:tblLook w:firstColumn="1" w:firstRow="1" w:lastColumn="0" w:lastRow="0" w:noHBand="0" w:noVBand="1" w:val="04A0"/>
      </w:tblPr>
      <w:tblGrid>
        <w:gridCol w:w="4419"/>
        <w:gridCol w:w="4419"/>
      </w:tblGrid>
      <w:tr>
        <w:tc>
          <w:tcPr>
            <w:tcW w:type="dxa" w:w="3969"/>
            <w:shd w:val="clear" w:color="auto" w:fill="1F4E79"/>
          </w:tcPr>
          <w:p>
            <w:pPr>
              <w:jc w:val="center"/>
            </w:pPr>
            <w:r>
              <w:rPr>
                <w:rFonts w:ascii="Calibri" w:hAnsi="Calibri"/>
                <w:b/>
                <w:color w:val="FFFFFF"/>
                <w:sz w:val="20"/>
              </w:rPr>
              <w:t>Parámetro</w:t>
            </w:r>
          </w:p>
        </w:tc>
        <w:tc>
          <w:tcPr>
            <w:tcW w:type="dxa" w:w="4535"/>
            <w:shd w:val="clear" w:color="auto" w:fill="1F4E79"/>
          </w:tcPr>
          <w:p>
            <w:pPr>
              <w:jc w:val="center"/>
            </w:pPr>
            <w:r>
              <w:rPr>
                <w:rFonts w:ascii="Calibri" w:hAnsi="Calibri"/>
                <w:b/>
                <w:color w:val="FFFFFF"/>
                <w:sz w:val="20"/>
              </w:rPr>
              <w:t>Valor</w:t>
            </w:r>
          </w:p>
        </w:tc>
      </w:tr>
      <w:tr>
        <w:tc>
          <w:tcPr>
            <w:tcW w:type="dxa" w:w="3969"/>
          </w:tcPr>
          <w:p>
            <w:pPr>
              <w:jc w:val="center"/>
            </w:pPr>
            <w:r>
              <w:rPr>
                <w:rFonts w:ascii="Calibri" w:hAnsi="Calibri"/>
                <w:sz w:val="20"/>
              </w:rPr>
              <w:t>Modelo</w:t>
            </w:r>
          </w:p>
        </w:tc>
        <w:tc>
          <w:tcPr>
            <w:tcW w:type="dxa" w:w="4535"/>
          </w:tcPr>
          <w:p>
            <w:pPr>
              <w:jc w:val="center"/>
            </w:pPr>
            <w:r>
              <w:rPr>
                <w:rFonts w:ascii="Calibri" w:hAnsi="Calibri"/>
                <w:sz w:val="20"/>
              </w:rPr>
              <w:t>sentence-transformers/all-mpnet-base-v2</w:t>
            </w:r>
          </w:p>
        </w:tc>
      </w:tr>
      <w:tr>
        <w:tc>
          <w:tcPr>
            <w:tcW w:type="dxa" w:w="3969"/>
            <w:shd w:val="clear" w:color="auto" w:fill="D6E4F7"/>
          </w:tcPr>
          <w:p>
            <w:pPr>
              <w:jc w:val="center"/>
            </w:pPr>
            <w:r>
              <w:rPr>
                <w:rFonts w:ascii="Calibri" w:hAnsi="Calibri"/>
                <w:sz w:val="20"/>
              </w:rPr>
              <w:t>Dimensión del embedding</w:t>
            </w:r>
          </w:p>
        </w:tc>
        <w:tc>
          <w:tcPr>
            <w:tcW w:type="dxa" w:w="4535"/>
            <w:shd w:val="clear" w:color="auto" w:fill="D6E4F7"/>
          </w:tcPr>
          <w:p>
            <w:pPr>
              <w:jc w:val="center"/>
            </w:pPr>
            <w:r>
              <w:rPr>
                <w:rFonts w:ascii="Calibri" w:hAnsi="Calibri"/>
                <w:sz w:val="20"/>
              </w:rPr>
              <w:t>768</w:t>
            </w:r>
          </w:p>
        </w:tc>
      </w:tr>
      <w:tr>
        <w:tc>
          <w:tcPr>
            <w:tcW w:type="dxa" w:w="3969"/>
          </w:tcPr>
          <w:p>
            <w:pPr>
              <w:jc w:val="center"/>
            </w:pPr>
            <w:r>
              <w:rPr>
                <w:rFonts w:ascii="Calibri" w:hAnsi="Calibri"/>
                <w:sz w:val="20"/>
              </w:rPr>
              <w:t>Límite de tokens</w:t>
            </w:r>
          </w:p>
        </w:tc>
        <w:tc>
          <w:tcPr>
            <w:tcW w:type="dxa" w:w="4535"/>
          </w:tcPr>
          <w:p>
            <w:pPr>
              <w:jc w:val="center"/>
            </w:pPr>
            <w:r>
              <w:rPr>
                <w:rFonts w:ascii="Calibri" w:hAnsi="Calibri"/>
                <w:sz w:val="20"/>
              </w:rPr>
              <w:t>514</w:t>
            </w:r>
          </w:p>
        </w:tc>
      </w:tr>
      <w:tr>
        <w:tc>
          <w:tcPr>
            <w:tcW w:type="dxa" w:w="3969"/>
            <w:shd w:val="clear" w:color="auto" w:fill="D6E4F7"/>
          </w:tcPr>
          <w:p>
            <w:pPr>
              <w:jc w:val="center"/>
            </w:pPr>
            <w:r>
              <w:rPr>
                <w:rFonts w:ascii="Calibri" w:hAnsi="Calibri"/>
                <w:sz w:val="20"/>
              </w:rPr>
              <w:t>Función de similitud</w:t>
            </w:r>
          </w:p>
        </w:tc>
        <w:tc>
          <w:tcPr>
            <w:tcW w:type="dxa" w:w="4535"/>
            <w:shd w:val="clear" w:color="auto" w:fill="D6E4F7"/>
          </w:tcPr>
          <w:p>
            <w:pPr>
              <w:jc w:val="center"/>
            </w:pPr>
            <w:r>
              <w:rPr>
                <w:rFonts w:ascii="Calibri" w:hAnsi="Calibri"/>
                <w:sz w:val="20"/>
              </w:rPr>
              <w:t>Coseno</w:t>
            </w:r>
          </w:p>
        </w:tc>
      </w:tr>
      <w:tr>
        <w:tc>
          <w:tcPr>
            <w:tcW w:type="dxa" w:w="3969"/>
          </w:tcPr>
          <w:p>
            <w:pPr>
              <w:jc w:val="center"/>
            </w:pPr>
            <w:r>
              <w:rPr>
                <w:rFonts w:ascii="Calibri" w:hAnsi="Calibri"/>
                <w:sz w:val="20"/>
              </w:rPr>
              <w:t>Tamaño de la matriz de embeddings</w:t>
            </w:r>
          </w:p>
        </w:tc>
        <w:tc>
          <w:tcPr>
            <w:tcW w:type="dxa" w:w="4535"/>
          </w:tcPr>
          <w:p>
            <w:pPr>
              <w:jc w:val="center"/>
            </w:pPr>
            <w:r>
              <w:rPr>
                <w:rFonts w:ascii="Calibri" w:hAnsi="Calibri"/>
                <w:sz w:val="20"/>
              </w:rPr>
              <w:t>996 × 768</w:t>
            </w:r>
          </w:p>
        </w:tc>
      </w:tr>
    </w:tbl>
    <w:p/>
    <w:p>
      <w:pPr>
        <w:pStyle w:val="Heading2"/>
      </w:pPr>
      <w:r>
        <w:rPr>
          <w:rFonts w:ascii="Calibri" w:hAnsi="Calibri"/>
        </w:rPr>
        <w:t>3.4 Verificación del límite de tokens</w:t>
      </w:r>
    </w:p>
    <w:p>
      <w:pPr>
        <w:spacing w:before="0" w:after="80"/>
      </w:pPr>
      <w:r>
        <w:rPr>
          <w:rFonts w:ascii="Calibri" w:hAnsi="Calibri"/>
          <w:b w:val="0"/>
          <w:i w:val="0"/>
          <w:sz w:val="22"/>
        </w:rPr>
        <w:t>Previo a la vectorización se verificó que ningún texto enriquecido supere el límite de secuencia del modelo. Con el límite de 8 keywords aplicado, la distribución de longitudes es la siguiente:</w:t>
      </w:r>
    </w:p>
    <w:tbl>
      <w:tblPr>
        <w:tblStyle w:val="TableGrid"/>
        <w:tblW w:type="auto" w:w="0"/>
        <w:tblLook w:firstColumn="1" w:firstRow="1" w:lastColumn="0" w:lastRow="0" w:noHBand="0" w:noVBand="1" w:val="04A0"/>
      </w:tblPr>
      <w:tblGrid>
        <w:gridCol w:w="4419"/>
        <w:gridCol w:w="4419"/>
      </w:tblGrid>
      <w:tr>
        <w:tc>
          <w:tcPr>
            <w:tcW w:type="dxa" w:w="5102"/>
            <w:shd w:val="clear" w:color="auto" w:fill="1F4E79"/>
          </w:tcPr>
          <w:p>
            <w:pPr>
              <w:jc w:val="center"/>
            </w:pPr>
            <w:r>
              <w:rPr>
                <w:rFonts w:ascii="Calibri" w:hAnsi="Calibri"/>
                <w:b/>
                <w:color w:val="FFFFFF"/>
                <w:sz w:val="20"/>
              </w:rPr>
              <w:t>Estadística</w:t>
            </w:r>
          </w:p>
        </w:tc>
        <w:tc>
          <w:tcPr>
            <w:tcW w:type="dxa" w:w="3402"/>
            <w:shd w:val="clear" w:color="auto" w:fill="1F4E79"/>
          </w:tcPr>
          <w:p>
            <w:pPr>
              <w:jc w:val="center"/>
            </w:pPr>
            <w:r>
              <w:rPr>
                <w:rFonts w:ascii="Calibri" w:hAnsi="Calibri"/>
                <w:b/>
                <w:color w:val="FFFFFF"/>
                <w:sz w:val="20"/>
              </w:rPr>
              <w:t>Valor</w:t>
            </w:r>
          </w:p>
        </w:tc>
      </w:tr>
      <w:tr>
        <w:tc>
          <w:tcPr>
            <w:tcW w:type="dxa" w:w="5102"/>
          </w:tcPr>
          <w:p>
            <w:pPr>
              <w:jc w:val="center"/>
            </w:pPr>
            <w:r>
              <w:rPr>
                <w:rFonts w:ascii="Calibri" w:hAnsi="Calibri"/>
                <w:sz w:val="20"/>
              </w:rPr>
              <w:t>Longitud máxima</w:t>
            </w:r>
          </w:p>
        </w:tc>
        <w:tc>
          <w:tcPr>
            <w:tcW w:type="dxa" w:w="3402"/>
          </w:tcPr>
          <w:p>
            <w:pPr>
              <w:jc w:val="center"/>
            </w:pPr>
            <w:r>
              <w:rPr>
                <w:rFonts w:ascii="Calibri" w:hAnsi="Calibri"/>
                <w:sz w:val="20"/>
              </w:rPr>
              <w:t>315 tokens</w:t>
            </w:r>
          </w:p>
        </w:tc>
      </w:tr>
      <w:tr>
        <w:tc>
          <w:tcPr>
            <w:tcW w:type="dxa" w:w="5102"/>
            <w:shd w:val="clear" w:color="auto" w:fill="D6E4F7"/>
          </w:tcPr>
          <w:p>
            <w:pPr>
              <w:jc w:val="center"/>
            </w:pPr>
            <w:r>
              <w:rPr>
                <w:rFonts w:ascii="Calibri" w:hAnsi="Calibri"/>
                <w:sz w:val="20"/>
              </w:rPr>
              <w:t>Longitud promedio</w:t>
            </w:r>
          </w:p>
        </w:tc>
        <w:tc>
          <w:tcPr>
            <w:tcW w:type="dxa" w:w="3402"/>
            <w:shd w:val="clear" w:color="auto" w:fill="D6E4F7"/>
          </w:tcPr>
          <w:p>
            <w:pPr>
              <w:jc w:val="center"/>
            </w:pPr>
            <w:r>
              <w:rPr>
                <w:rFonts w:ascii="Calibri" w:hAnsi="Calibri"/>
                <w:sz w:val="20"/>
              </w:rPr>
              <w:t>163 tokens</w:t>
            </w:r>
          </w:p>
        </w:tc>
      </w:tr>
      <w:tr>
        <w:tc>
          <w:tcPr>
            <w:tcW w:type="dxa" w:w="5102"/>
          </w:tcPr>
          <w:p>
            <w:pPr>
              <w:jc w:val="center"/>
            </w:pPr>
            <w:r>
              <w:rPr>
                <w:rFonts w:ascii="Calibri" w:hAnsi="Calibri"/>
                <w:sz w:val="20"/>
              </w:rPr>
              <w:t>Longitud mediana</w:t>
            </w:r>
          </w:p>
        </w:tc>
        <w:tc>
          <w:tcPr>
            <w:tcW w:type="dxa" w:w="3402"/>
          </w:tcPr>
          <w:p>
            <w:pPr>
              <w:jc w:val="center"/>
            </w:pPr>
            <w:r>
              <w:rPr>
                <w:rFonts w:ascii="Calibri" w:hAnsi="Calibri"/>
                <w:sz w:val="20"/>
              </w:rPr>
              <w:t>161 tokens</w:t>
            </w:r>
          </w:p>
        </w:tc>
      </w:tr>
      <w:tr>
        <w:tc>
          <w:tcPr>
            <w:tcW w:type="dxa" w:w="5102"/>
            <w:shd w:val="clear" w:color="auto" w:fill="D6E4F7"/>
          </w:tcPr>
          <w:p>
            <w:pPr>
              <w:jc w:val="center"/>
            </w:pPr>
            <w:r>
              <w:rPr>
                <w:rFonts w:ascii="Calibri" w:hAnsi="Calibri"/>
                <w:sz w:val="20"/>
              </w:rPr>
              <w:t>Textos que superan el límite (514 tokens)</w:t>
            </w:r>
          </w:p>
        </w:tc>
        <w:tc>
          <w:tcPr>
            <w:tcW w:type="dxa" w:w="3402"/>
            <w:shd w:val="clear" w:color="auto" w:fill="D6E4F7"/>
          </w:tcPr>
          <w:p>
            <w:pPr>
              <w:jc w:val="center"/>
            </w:pPr>
            <w:r>
              <w:rPr>
                <w:rFonts w:ascii="Calibri" w:hAnsi="Calibri"/>
                <w:sz w:val="20"/>
              </w:rPr>
              <w:t>0  (0,00 %)</w:t>
            </w:r>
          </w:p>
        </w:tc>
      </w:tr>
    </w:tbl>
    <w:p>
      <w:pPr>
        <w:spacing w:before="0" w:after="80"/>
      </w:pPr>
    </w:p>
    <w:p>
      <w:pPr>
        <w:pStyle w:val="Heading1"/>
      </w:pPr>
      <w:r>
        <w:rPr>
          <w:rFonts w:ascii="Calibri" w:hAnsi="Calibri"/>
          <w:color w:val="1F4E79"/>
        </w:rPr>
        <w:t>4. Evaluación</w:t>
      </w:r>
    </w:p>
    <w:p>
      <w:pPr>
        <w:spacing w:before="0" w:after="160"/>
      </w:pPr>
      <w:r>
        <w:rPr>
          <w:rFonts w:ascii="Calibri" w:hAnsi="Calibri"/>
          <w:b w:val="0"/>
          <w:i w:val="0"/>
          <w:sz w:val="22"/>
        </w:rPr>
        <w:t>Se construyó un conjunto de 56 consultas sintéticas, cada una diseñada para simular búsquedas reales mediante paráfrasis, sinónimos y descripciones parciales. Las consultas abarcan géneros variados (animación, ciencia ficción, drama histórico, terror, comedia) y distintos grados de especificidad, desde consultas detalladas con nombres de actores hasta consultas genéricas de una o dos palabras.</w:t>
      </w:r>
    </w:p>
    <w:p>
      <w:pPr>
        <w:pStyle w:val="Heading2"/>
      </w:pPr>
      <w:r>
        <w:rPr>
          <w:rFonts w:ascii="Calibri" w:hAnsi="Calibri"/>
        </w:rPr>
        <w:t>4.1 Evaluación §8 — Búsqueda por ítem conocido (Known-Item Search)</w:t>
      </w:r>
    </w:p>
    <w:p>
      <w:pPr>
        <w:spacing w:before="0" w:after="80"/>
      </w:pPr>
      <w:r>
        <w:rPr>
          <w:rFonts w:ascii="Calibri" w:hAnsi="Calibri"/>
          <w:b w:val="0"/>
          <w:i w:val="0"/>
          <w:sz w:val="22"/>
        </w:rPr>
        <w:t>Cada consulta tiene asociada exactamente una película esperada como respuesta correcta (ground truth). Este modelo simula el escenario en que el usuario intenta recuperar un título específico que ya conoce.</w:t>
      </w:r>
    </w:p>
    <w:p>
      <w:pPr>
        <w:spacing w:before="0" w:after="40"/>
      </w:pPr>
      <w:r>
        <w:rPr>
          <w:rFonts w:ascii="Calibri" w:hAnsi="Calibri"/>
          <w:b/>
          <w:i w:val="0"/>
          <w:sz w:val="22"/>
        </w:rPr>
        <w:t>Métricas utilizadas:</w:t>
      </w:r>
    </w:p>
    <w:p>
      <w:pPr>
        <w:pStyle w:val="ListBullet"/>
        <w:spacing w:after="60"/>
      </w:pPr>
      <w:r>
        <w:rPr>
          <w:rFonts w:ascii="Calibri" w:hAnsi="Calibri"/>
          <w:sz w:val="22"/>
        </w:rPr>
        <w:t>Hit Rate@K: proporción de consultas en las que la película esperada aparece entre los primeros K resultados. Métrica binaria por consulta.</w:t>
      </w:r>
    </w:p>
    <w:p>
      <w:pPr>
        <w:pStyle w:val="ListBullet"/>
        <w:spacing w:after="60"/>
      </w:pPr>
      <w:r>
        <w:rPr>
          <w:rFonts w:ascii="Calibri" w:hAnsi="Calibri"/>
          <w:sz w:val="22"/>
        </w:rPr>
        <w:t>MRR (Mean Reciprocal Rank): promedio del inverso de la posición del resultado correcto. Penaliza las apariciones tardías en el ranking.</w:t>
      </w:r>
    </w:p>
    <w:p/>
    <w:p>
      <w:pPr>
        <w:pStyle w:val="Heading2"/>
      </w:pPr>
      <w:r>
        <w:rPr>
          <w:rFonts w:ascii="Calibri" w:hAnsi="Calibri"/>
        </w:rPr>
        <w:t>4.2 Evaluación §9 — Relevancia múltiple (Ad Hoc Retrieval)</w:t>
      </w:r>
    </w:p>
    <w:p>
      <w:pPr>
        <w:spacing w:before="0" w:after="80"/>
      </w:pPr>
      <w:r>
        <w:rPr>
          <w:rFonts w:ascii="Calibri" w:hAnsi="Calibri"/>
          <w:b w:val="0"/>
          <w:i w:val="0"/>
          <w:sz w:val="22"/>
        </w:rPr>
        <w:t>La evaluación de ítem conocido asume que solo existe una respuesta correcta, lo que no refleja fielmente el uso real de un buscador de películas: ante una consulta como "película animada sobre dinosaurios y amistad", múltiples títulos pueden satisfacer igualmente al usuario.</w:t>
      </w:r>
    </w:p>
    <w:p>
      <w:pPr>
        <w:spacing w:before="0" w:after="80"/>
      </w:pPr>
      <w:r>
        <w:rPr>
          <w:rFonts w:ascii="Calibri" w:hAnsi="Calibri"/>
          <w:b w:val="0"/>
          <w:i w:val="0"/>
          <w:sz w:val="22"/>
        </w:rPr>
        <w:t>Para este segundo método se construyó una colección de prueba (test collection) siguiendo el enfoque estándar Cranfield/TREC, con juicios de relevancia graduada (qrels):</w:t>
      </w:r>
    </w:p>
    <w:tbl>
      <w:tblPr>
        <w:tblStyle w:val="TableGrid"/>
        <w:tblW w:type="auto" w:w="0"/>
        <w:tblLook w:firstColumn="1" w:firstRow="1" w:lastColumn="0" w:lastRow="0" w:noHBand="0" w:noVBand="1" w:val="04A0"/>
      </w:tblPr>
      <w:tblGrid>
        <w:gridCol w:w="2946"/>
        <w:gridCol w:w="2946"/>
        <w:gridCol w:w="2946"/>
      </w:tblGrid>
      <w:tr>
        <w:tc>
          <w:tcPr>
            <w:tcW w:type="dxa" w:w="2551"/>
            <w:shd w:val="clear" w:color="auto" w:fill="1F4E79"/>
          </w:tcPr>
          <w:p>
            <w:pPr>
              <w:jc w:val="center"/>
            </w:pPr>
            <w:r>
              <w:rPr>
                <w:rFonts w:ascii="Calibri" w:hAnsi="Calibri"/>
                <w:b/>
                <w:color w:val="FFFFFF"/>
                <w:sz w:val="20"/>
              </w:rPr>
              <w:t>Grado</w:t>
            </w:r>
          </w:p>
        </w:tc>
        <w:tc>
          <w:tcPr>
            <w:tcW w:type="dxa" w:w="4535"/>
            <w:shd w:val="clear" w:color="auto" w:fill="1F4E79"/>
          </w:tcPr>
          <w:p>
            <w:pPr>
              <w:jc w:val="center"/>
            </w:pPr>
            <w:r>
              <w:rPr>
                <w:rFonts w:ascii="Calibri" w:hAnsi="Calibri"/>
                <w:b/>
                <w:color w:val="FFFFFF"/>
                <w:sz w:val="20"/>
              </w:rPr>
              <w:t>Criterio</w:t>
            </w:r>
          </w:p>
        </w:tc>
        <w:tc>
          <w:tcPr>
            <w:tcW w:type="dxa" w:w="2268"/>
            <w:shd w:val="clear" w:color="auto" w:fill="1F4E79"/>
          </w:tcPr>
          <w:p>
            <w:pPr>
              <w:jc w:val="center"/>
            </w:pPr>
            <w:r>
              <w:rPr>
                <w:rFonts w:ascii="Calibri" w:hAnsi="Calibri"/>
                <w:b/>
                <w:color w:val="FFFFFF"/>
                <w:sz w:val="20"/>
              </w:rPr>
              <w:t>Cantidad promedio por consulta</w:t>
            </w:r>
          </w:p>
        </w:tc>
      </w:tr>
      <w:tr>
        <w:tc>
          <w:tcPr>
            <w:tcW w:type="dxa" w:w="2551"/>
          </w:tcPr>
          <w:p>
            <w:pPr>
              <w:jc w:val="center"/>
            </w:pPr>
            <w:r>
              <w:rPr>
                <w:rFonts w:ascii="Calibri" w:hAnsi="Calibri"/>
                <w:sz w:val="20"/>
              </w:rPr>
              <w:t>2 — Altamente relevante</w:t>
            </w:r>
          </w:p>
        </w:tc>
        <w:tc>
          <w:tcPr>
            <w:tcW w:type="dxa" w:w="4535"/>
          </w:tcPr>
          <w:p>
            <w:pPr>
              <w:jc w:val="center"/>
            </w:pPr>
            <w:r>
              <w:rPr>
                <w:rFonts w:ascii="Calibri" w:hAnsi="Calibri"/>
                <w:sz w:val="20"/>
              </w:rPr>
              <w:t>Película del ground truth exacto</w:t>
            </w:r>
          </w:p>
        </w:tc>
        <w:tc>
          <w:tcPr>
            <w:tcW w:type="dxa" w:w="2268"/>
          </w:tcPr>
          <w:p>
            <w:pPr>
              <w:jc w:val="center"/>
            </w:pPr>
            <w:r>
              <w:rPr>
                <w:rFonts w:ascii="Calibri" w:hAnsi="Calibri"/>
                <w:sz w:val="20"/>
              </w:rPr>
              <w:t>1</w:t>
            </w:r>
          </w:p>
        </w:tc>
      </w:tr>
      <w:tr>
        <w:tc>
          <w:tcPr>
            <w:tcW w:type="dxa" w:w="2551"/>
            <w:shd w:val="clear" w:color="auto" w:fill="D6E4F7"/>
          </w:tcPr>
          <w:p>
            <w:pPr>
              <w:jc w:val="center"/>
            </w:pPr>
            <w:r>
              <w:rPr>
                <w:rFonts w:ascii="Calibri" w:hAnsi="Calibri"/>
                <w:sz w:val="20"/>
              </w:rPr>
              <w:t>1 — Parcialmente relevante</w:t>
            </w:r>
          </w:p>
        </w:tc>
        <w:tc>
          <w:tcPr>
            <w:tcW w:type="dxa" w:w="4535"/>
            <w:shd w:val="clear" w:color="auto" w:fill="D6E4F7"/>
          </w:tcPr>
          <w:p>
            <w:pPr>
              <w:jc w:val="center"/>
            </w:pPr>
            <w:r>
              <w:rPr>
                <w:rFonts w:ascii="Calibri" w:hAnsi="Calibri"/>
                <w:sz w:val="20"/>
              </w:rPr>
              <w:t>Películas con ≥ 2 géneros en común con el gold</w:t>
            </w:r>
          </w:p>
        </w:tc>
        <w:tc>
          <w:tcPr>
            <w:tcW w:type="dxa" w:w="2268"/>
            <w:shd w:val="clear" w:color="auto" w:fill="D6E4F7"/>
          </w:tcPr>
          <w:p>
            <w:pPr>
              <w:jc w:val="center"/>
            </w:pPr>
            <w:r>
              <w:rPr>
                <w:rFonts w:ascii="Calibri" w:hAnsi="Calibri"/>
                <w:sz w:val="20"/>
              </w:rPr>
              <w:t>≈ 159</w:t>
            </w:r>
          </w:p>
        </w:tc>
      </w:tr>
      <w:tr>
        <w:tc>
          <w:tcPr>
            <w:tcW w:type="dxa" w:w="2551"/>
          </w:tcPr>
          <w:p>
            <w:pPr>
              <w:jc w:val="center"/>
            </w:pPr>
            <w:r>
              <w:rPr>
                <w:rFonts w:ascii="Calibri" w:hAnsi="Calibri"/>
                <w:sz w:val="20"/>
              </w:rPr>
              <w:t>0 — No relevante</w:t>
            </w:r>
          </w:p>
        </w:tc>
        <w:tc>
          <w:tcPr>
            <w:tcW w:type="dxa" w:w="4535"/>
          </w:tcPr>
          <w:p>
            <w:pPr>
              <w:jc w:val="center"/>
            </w:pPr>
            <w:r>
              <w:rPr>
                <w:rFonts w:ascii="Calibri" w:hAnsi="Calibri"/>
                <w:sz w:val="20"/>
              </w:rPr>
              <w:t>Resto del catálogo</w:t>
            </w:r>
          </w:p>
        </w:tc>
        <w:tc>
          <w:tcPr>
            <w:tcW w:type="dxa" w:w="2268"/>
          </w:tcPr>
          <w:p>
            <w:pPr>
              <w:jc w:val="center"/>
            </w:pPr>
            <w:r>
              <w:rPr>
                <w:rFonts w:ascii="Calibri" w:hAnsi="Calibri"/>
                <w:sz w:val="20"/>
              </w:rPr>
              <w:t>≈ 836</w:t>
            </w:r>
          </w:p>
        </w:tc>
      </w:tr>
    </w:tbl>
    <w:p>
      <w:pPr>
        <w:spacing w:before="0" w:after="80"/>
      </w:pPr>
    </w:p>
    <w:p>
      <w:pPr>
        <w:spacing w:before="0" w:after="40"/>
      </w:pPr>
      <w:r>
        <w:rPr>
          <w:rFonts w:ascii="Calibri" w:hAnsi="Calibri"/>
          <w:b/>
          <w:i w:val="0"/>
          <w:sz w:val="22"/>
        </w:rPr>
        <w:t>Métricas utilizadas:</w:t>
      </w:r>
    </w:p>
    <w:p>
      <w:pPr>
        <w:pStyle w:val="ListBullet"/>
        <w:spacing w:after="60"/>
      </w:pPr>
      <w:r>
        <w:rPr>
          <w:rFonts w:ascii="Calibri" w:hAnsi="Calibri"/>
          <w:sz w:val="22"/>
        </w:rPr>
        <w:t>P@10 (Precision at 10): fracción de los 10 resultados recuperados que son relevantes (grado ≥ 1). Simple e interpretable.</w:t>
      </w:r>
    </w:p>
    <w:p>
      <w:pPr>
        <w:pStyle w:val="ListBullet"/>
        <w:spacing w:after="60"/>
      </w:pPr>
      <w:r>
        <w:rPr>
          <w:rFonts w:ascii="Calibri" w:hAnsi="Calibri"/>
          <w:sz w:val="22"/>
        </w:rPr>
        <w:t>MAP (Mean Average Precision): media de la Average Precision sobre todas las consultas, normalizada por el total de documentos relevantes en la colección. Penaliza los sistemas que no posicionan los relevantes al comienzo. Nota: con ~160 documentos relevantes y K=10, el MAP máximo teórico es ≈ 0,063, por lo que los valores absolutos son necesariamente bajos.</w:t>
      </w:r>
    </w:p>
    <w:p>
      <w:pPr>
        <w:pStyle w:val="ListBullet"/>
        <w:spacing w:after="60"/>
      </w:pPr>
      <w:r>
        <w:rPr>
          <w:rFonts w:ascii="Calibri" w:hAnsi="Calibri"/>
          <w:sz w:val="22"/>
        </w:rPr>
        <w:t>nDCG@10 (Normalized Discounted Cumulative Gain at 10): acumula la ganancia de relevancia (0, 1 ó 2) de los 10 resultados recuperados aplicando un descuento logarítmico por posición, normalizado por el ranking ideal. Captura cuántos documentos relevantes se recuperan, en qué posición aparecen y cuán relevantes son.</w:t>
      </w:r>
    </w:p>
    <w:p/>
    <w:p>
      <w:pPr>
        <w:pStyle w:val="Heading1"/>
      </w:pPr>
      <w:r>
        <w:rPr>
          <w:rFonts w:ascii="Calibri" w:hAnsi="Calibri"/>
          <w:color w:val="1F4E79"/>
        </w:rPr>
        <w:t>5. Resultados</w:t>
      </w:r>
    </w:p>
    <w:p>
      <w:pPr>
        <w:pStyle w:val="Heading2"/>
      </w:pPr>
      <w:r>
        <w:rPr>
          <w:rFonts w:ascii="Calibri" w:hAnsi="Calibri"/>
        </w:rPr>
        <w:t>5.1 Búsqueda por ítem conocido (K = 5)</w:t>
      </w:r>
    </w:p>
    <w:tbl>
      <w:tblPr>
        <w:tblStyle w:val="TableGrid"/>
        <w:tblW w:type="auto" w:w="0"/>
        <w:tblLook w:firstColumn="1" w:firstRow="1" w:lastColumn="0" w:lastRow="0" w:noHBand="0" w:noVBand="1" w:val="04A0"/>
      </w:tblPr>
      <w:tblGrid>
        <w:gridCol w:w="2946"/>
        <w:gridCol w:w="2946"/>
        <w:gridCol w:w="2946"/>
      </w:tblGrid>
      <w:tr>
        <w:tc>
          <w:tcPr>
            <w:tcW w:type="dxa" w:w="3969"/>
            <w:shd w:val="clear" w:color="auto" w:fill="1F4E79"/>
          </w:tcPr>
          <w:p>
            <w:pPr>
              <w:jc w:val="center"/>
            </w:pPr>
            <w:r>
              <w:rPr>
                <w:rFonts w:ascii="Calibri" w:hAnsi="Calibri"/>
                <w:b/>
                <w:color w:val="FFFFFF"/>
                <w:sz w:val="20"/>
              </w:rPr>
              <w:t>Modelo</w:t>
            </w:r>
          </w:p>
        </w:tc>
        <w:tc>
          <w:tcPr>
            <w:tcW w:type="dxa" w:w="2551"/>
            <w:shd w:val="clear" w:color="auto" w:fill="1F4E79"/>
          </w:tcPr>
          <w:p>
            <w:pPr>
              <w:jc w:val="center"/>
            </w:pPr>
            <w:r>
              <w:rPr>
                <w:rFonts w:ascii="Calibri" w:hAnsi="Calibri"/>
                <w:b/>
                <w:color w:val="FFFFFF"/>
                <w:sz w:val="20"/>
              </w:rPr>
              <w:t>Hit Rate@5</w:t>
            </w:r>
          </w:p>
        </w:tc>
        <w:tc>
          <w:tcPr>
            <w:tcW w:type="dxa" w:w="2551"/>
            <w:shd w:val="clear" w:color="auto" w:fill="1F4E79"/>
          </w:tcPr>
          <w:p>
            <w:pPr>
              <w:jc w:val="center"/>
            </w:pPr>
            <w:r>
              <w:rPr>
                <w:rFonts w:ascii="Calibri" w:hAnsi="Calibri"/>
                <w:b/>
                <w:color w:val="FFFFFF"/>
                <w:sz w:val="20"/>
              </w:rPr>
              <w:t>MRR</w:t>
            </w:r>
          </w:p>
        </w:tc>
      </w:tr>
      <w:tr>
        <w:tc>
          <w:tcPr>
            <w:tcW w:type="dxa" w:w="3969"/>
          </w:tcPr>
          <w:p>
            <w:pPr>
              <w:jc w:val="center"/>
            </w:pPr>
            <w:r>
              <w:rPr>
                <w:rFonts w:ascii="Calibri" w:hAnsi="Calibri"/>
                <w:sz w:val="20"/>
              </w:rPr>
              <w:t>TF-IDF (léxico)</w:t>
            </w:r>
          </w:p>
        </w:tc>
        <w:tc>
          <w:tcPr>
            <w:tcW w:type="dxa" w:w="2551"/>
          </w:tcPr>
          <w:p>
            <w:pPr>
              <w:jc w:val="center"/>
            </w:pPr>
            <w:r>
              <w:rPr>
                <w:rFonts w:ascii="Calibri" w:hAnsi="Calibri"/>
                <w:sz w:val="20"/>
              </w:rPr>
              <w:t>82,14 %</w:t>
            </w:r>
          </w:p>
        </w:tc>
        <w:tc>
          <w:tcPr>
            <w:tcW w:type="dxa" w:w="2551"/>
          </w:tcPr>
          <w:p>
            <w:pPr>
              <w:jc w:val="center"/>
            </w:pPr>
            <w:r>
              <w:rPr>
                <w:rFonts w:ascii="Calibri" w:hAnsi="Calibri"/>
                <w:sz w:val="20"/>
              </w:rPr>
              <w:t>0,7438</w:t>
            </w:r>
          </w:p>
        </w:tc>
      </w:tr>
      <w:tr>
        <w:tc>
          <w:tcPr>
            <w:tcW w:type="dxa" w:w="3969"/>
            <w:shd w:val="clear" w:color="auto" w:fill="D6E4F7"/>
          </w:tcPr>
          <w:p>
            <w:pPr>
              <w:jc w:val="center"/>
            </w:pPr>
            <w:r>
              <w:rPr>
                <w:rFonts w:ascii="Calibri" w:hAnsi="Calibri"/>
                <w:sz w:val="20"/>
              </w:rPr>
              <w:t>Embeddings (semántico)</w:t>
            </w:r>
          </w:p>
        </w:tc>
        <w:tc>
          <w:tcPr>
            <w:tcW w:type="dxa" w:w="2551"/>
            <w:shd w:val="clear" w:color="auto" w:fill="D6E4F7"/>
          </w:tcPr>
          <w:p>
            <w:pPr>
              <w:jc w:val="center"/>
            </w:pPr>
            <w:r>
              <w:rPr>
                <w:rFonts w:ascii="Calibri" w:hAnsi="Calibri"/>
                <w:sz w:val="20"/>
              </w:rPr>
              <w:t>96,43 %</w:t>
            </w:r>
          </w:p>
        </w:tc>
        <w:tc>
          <w:tcPr>
            <w:tcW w:type="dxa" w:w="2551"/>
            <w:shd w:val="clear" w:color="auto" w:fill="D6E4F7"/>
          </w:tcPr>
          <w:p>
            <w:pPr>
              <w:jc w:val="center"/>
            </w:pPr>
            <w:r>
              <w:rPr>
                <w:rFonts w:ascii="Calibri" w:hAnsi="Calibri"/>
                <w:sz w:val="20"/>
              </w:rPr>
              <w:t>0,8458</w:t>
            </w:r>
          </w:p>
        </w:tc>
      </w:tr>
      <w:tr>
        <w:tc>
          <w:tcPr>
            <w:tcW w:type="dxa" w:w="3969"/>
          </w:tcPr>
          <w:p>
            <w:pPr>
              <w:jc w:val="center"/>
            </w:pPr>
            <w:r>
              <w:rPr>
                <w:rFonts w:ascii="Calibri" w:hAnsi="Calibri"/>
                <w:sz w:val="20"/>
              </w:rPr>
              <w:t>Δ (semántico − léxico)</w:t>
            </w:r>
          </w:p>
        </w:tc>
        <w:tc>
          <w:tcPr>
            <w:tcW w:type="dxa" w:w="2551"/>
          </w:tcPr>
          <w:p>
            <w:pPr>
              <w:jc w:val="center"/>
            </w:pPr>
            <w:r>
              <w:rPr>
                <w:rFonts w:ascii="Calibri" w:hAnsi="Calibri"/>
                <w:sz w:val="20"/>
              </w:rPr>
              <w:t>+14,29 pp</w:t>
            </w:r>
          </w:p>
        </w:tc>
        <w:tc>
          <w:tcPr>
            <w:tcW w:type="dxa" w:w="2551"/>
          </w:tcPr>
          <w:p>
            <w:pPr>
              <w:jc w:val="center"/>
            </w:pPr>
            <w:r>
              <w:rPr>
                <w:rFonts w:ascii="Calibri" w:hAnsi="Calibri"/>
                <w:sz w:val="20"/>
              </w:rPr>
              <w:t>+0,1020</w:t>
            </w:r>
          </w:p>
        </w:tc>
      </w:tr>
    </w:tbl>
    <w:p>
      <w:pPr>
        <w:spacing w:before="0" w:after="80"/>
      </w:pPr>
    </w:p>
    <w:p>
      <w:pPr>
        <w:spacing w:before="0" w:after="160"/>
      </w:pPr>
      <w:r>
        <w:rPr>
          <w:rFonts w:ascii="Calibri" w:hAnsi="Calibri"/>
          <w:b w:val="0"/>
          <w:i w:val="0"/>
          <w:sz w:val="22"/>
        </w:rPr>
        <w:t>El modelo semántico recupera la película exacta buscada en 54 de las 56 consultas (Hit Rate@5 = 96,43 %), frente a las 46 del TF-IDF (82,14 %). El MRR más alto del modelo semántico (0,8458 vs 0,7438) indica además que, cuando la recupera, lo hace en posiciones más altas del ranking.</w:t>
      </w:r>
    </w:p>
    <w:p>
      <w:pPr>
        <w:pStyle w:val="Heading2"/>
      </w:pPr>
      <w:r>
        <w:rPr>
          <w:rFonts w:ascii="Calibri" w:hAnsi="Calibri"/>
        </w:rPr>
        <w:t>5.2 Relevancia múltiple (K = 10)</w:t>
      </w:r>
    </w:p>
    <w:tbl>
      <w:tblPr>
        <w:tblStyle w:val="TableGrid"/>
        <w:tblW w:type="auto" w:w="0"/>
        <w:tblLook w:firstColumn="1" w:firstRow="1" w:lastColumn="0" w:lastRow="0" w:noHBand="0" w:noVBand="1" w:val="04A0"/>
      </w:tblPr>
      <w:tblGrid>
        <w:gridCol w:w="2209"/>
        <w:gridCol w:w="2209"/>
        <w:gridCol w:w="2209"/>
        <w:gridCol w:w="2209"/>
      </w:tblGrid>
      <w:tr>
        <w:tc>
          <w:tcPr>
            <w:tcW w:type="dxa" w:w="3969"/>
            <w:shd w:val="clear" w:color="auto" w:fill="1F4E79"/>
          </w:tcPr>
          <w:p>
            <w:pPr>
              <w:jc w:val="center"/>
            </w:pPr>
            <w:r>
              <w:rPr>
                <w:rFonts w:ascii="Calibri" w:hAnsi="Calibri"/>
                <w:b/>
                <w:color w:val="FFFFFF"/>
                <w:sz w:val="20"/>
              </w:rPr>
              <w:t>Modelo</w:t>
            </w:r>
          </w:p>
        </w:tc>
        <w:tc>
          <w:tcPr>
            <w:tcW w:type="dxa" w:w="1701"/>
            <w:shd w:val="clear" w:color="auto" w:fill="1F4E79"/>
          </w:tcPr>
          <w:p>
            <w:pPr>
              <w:jc w:val="center"/>
            </w:pPr>
            <w:r>
              <w:rPr>
                <w:rFonts w:ascii="Calibri" w:hAnsi="Calibri"/>
                <w:b/>
                <w:color w:val="FFFFFF"/>
                <w:sz w:val="20"/>
              </w:rPr>
              <w:t>P@10</w:t>
            </w:r>
          </w:p>
        </w:tc>
        <w:tc>
          <w:tcPr>
            <w:tcW w:type="dxa" w:w="1701"/>
            <w:shd w:val="clear" w:color="auto" w:fill="1F4E79"/>
          </w:tcPr>
          <w:p>
            <w:pPr>
              <w:jc w:val="center"/>
            </w:pPr>
            <w:r>
              <w:rPr>
                <w:rFonts w:ascii="Calibri" w:hAnsi="Calibri"/>
                <w:b/>
                <w:color w:val="FFFFFF"/>
                <w:sz w:val="20"/>
              </w:rPr>
              <w:t>MAP</w:t>
            </w:r>
          </w:p>
        </w:tc>
        <w:tc>
          <w:tcPr>
            <w:tcW w:type="dxa" w:w="1701"/>
            <w:shd w:val="clear" w:color="auto" w:fill="1F4E79"/>
          </w:tcPr>
          <w:p>
            <w:pPr>
              <w:jc w:val="center"/>
            </w:pPr>
            <w:r>
              <w:rPr>
                <w:rFonts w:ascii="Calibri" w:hAnsi="Calibri"/>
                <w:b/>
                <w:color w:val="FFFFFF"/>
                <w:sz w:val="20"/>
              </w:rPr>
              <w:t>nDCG@10</w:t>
            </w:r>
          </w:p>
        </w:tc>
      </w:tr>
      <w:tr>
        <w:tc>
          <w:tcPr>
            <w:tcW w:type="dxa" w:w="3969"/>
          </w:tcPr>
          <w:p>
            <w:pPr>
              <w:jc w:val="center"/>
            </w:pPr>
            <w:r>
              <w:rPr>
                <w:rFonts w:ascii="Calibri" w:hAnsi="Calibri"/>
                <w:sz w:val="20"/>
              </w:rPr>
              <w:t>TF-IDF (léxico)</w:t>
            </w:r>
          </w:p>
        </w:tc>
        <w:tc>
          <w:tcPr>
            <w:tcW w:type="dxa" w:w="1701"/>
          </w:tcPr>
          <w:p>
            <w:pPr>
              <w:jc w:val="center"/>
            </w:pPr>
            <w:r>
              <w:rPr>
                <w:rFonts w:ascii="Calibri" w:hAnsi="Calibri"/>
                <w:sz w:val="20"/>
              </w:rPr>
              <w:t>0,4018</w:t>
            </w:r>
          </w:p>
        </w:tc>
        <w:tc>
          <w:tcPr>
            <w:tcW w:type="dxa" w:w="1701"/>
          </w:tcPr>
          <w:p>
            <w:pPr>
              <w:jc w:val="center"/>
            </w:pPr>
            <w:r>
              <w:rPr>
                <w:rFonts w:ascii="Calibri" w:hAnsi="Calibri"/>
                <w:sz w:val="20"/>
              </w:rPr>
              <w:t>0,0543</w:t>
            </w:r>
          </w:p>
        </w:tc>
        <w:tc>
          <w:tcPr>
            <w:tcW w:type="dxa" w:w="1701"/>
          </w:tcPr>
          <w:p>
            <w:pPr>
              <w:jc w:val="center"/>
            </w:pPr>
            <w:r>
              <w:rPr>
                <w:rFonts w:ascii="Calibri" w:hAnsi="Calibri"/>
                <w:sz w:val="20"/>
              </w:rPr>
              <w:t>0,5471</w:t>
            </w:r>
          </w:p>
        </w:tc>
      </w:tr>
      <w:tr>
        <w:tc>
          <w:tcPr>
            <w:tcW w:type="dxa" w:w="3969"/>
            <w:shd w:val="clear" w:color="auto" w:fill="D6E4F7"/>
          </w:tcPr>
          <w:p>
            <w:pPr>
              <w:jc w:val="center"/>
            </w:pPr>
            <w:r>
              <w:rPr>
                <w:rFonts w:ascii="Calibri" w:hAnsi="Calibri"/>
                <w:sz w:val="20"/>
              </w:rPr>
              <w:t>Embeddings (semántico)</w:t>
            </w:r>
          </w:p>
        </w:tc>
        <w:tc>
          <w:tcPr>
            <w:tcW w:type="dxa" w:w="1701"/>
            <w:shd w:val="clear" w:color="auto" w:fill="D6E4F7"/>
          </w:tcPr>
          <w:p>
            <w:pPr>
              <w:jc w:val="center"/>
            </w:pPr>
            <w:r>
              <w:rPr>
                <w:rFonts w:ascii="Calibri" w:hAnsi="Calibri"/>
                <w:sz w:val="20"/>
              </w:rPr>
              <w:t>0,5179</w:t>
            </w:r>
          </w:p>
        </w:tc>
        <w:tc>
          <w:tcPr>
            <w:tcW w:type="dxa" w:w="1701"/>
            <w:shd w:val="clear" w:color="auto" w:fill="D6E4F7"/>
          </w:tcPr>
          <w:p>
            <w:pPr>
              <w:jc w:val="center"/>
            </w:pPr>
            <w:r>
              <w:rPr>
                <w:rFonts w:ascii="Calibri" w:hAnsi="Calibri"/>
                <w:sz w:val="20"/>
              </w:rPr>
              <w:t>0,0630</w:t>
            </w:r>
          </w:p>
        </w:tc>
        <w:tc>
          <w:tcPr>
            <w:tcW w:type="dxa" w:w="1701"/>
            <w:shd w:val="clear" w:color="auto" w:fill="D6E4F7"/>
          </w:tcPr>
          <w:p>
            <w:pPr>
              <w:jc w:val="center"/>
            </w:pPr>
            <w:r>
              <w:rPr>
                <w:rFonts w:ascii="Calibri" w:hAnsi="Calibri"/>
                <w:sz w:val="20"/>
              </w:rPr>
              <w:t>0,6571</w:t>
            </w:r>
          </w:p>
        </w:tc>
      </w:tr>
      <w:tr>
        <w:tc>
          <w:tcPr>
            <w:tcW w:type="dxa" w:w="3969"/>
          </w:tcPr>
          <w:p>
            <w:pPr>
              <w:jc w:val="center"/>
            </w:pPr>
            <w:r>
              <w:rPr>
                <w:rFonts w:ascii="Calibri" w:hAnsi="Calibri"/>
                <w:sz w:val="20"/>
              </w:rPr>
              <w:t>Δ (semántico − léxico)</w:t>
            </w:r>
          </w:p>
        </w:tc>
        <w:tc>
          <w:tcPr>
            <w:tcW w:type="dxa" w:w="1701"/>
          </w:tcPr>
          <w:p>
            <w:pPr>
              <w:jc w:val="center"/>
            </w:pPr>
            <w:r>
              <w:rPr>
                <w:rFonts w:ascii="Calibri" w:hAnsi="Calibri"/>
                <w:sz w:val="20"/>
              </w:rPr>
              <w:t>+0,1161</w:t>
            </w:r>
          </w:p>
        </w:tc>
        <w:tc>
          <w:tcPr>
            <w:tcW w:type="dxa" w:w="1701"/>
          </w:tcPr>
          <w:p>
            <w:pPr>
              <w:jc w:val="center"/>
            </w:pPr>
            <w:r>
              <w:rPr>
                <w:rFonts w:ascii="Calibri" w:hAnsi="Calibri"/>
                <w:sz w:val="20"/>
              </w:rPr>
              <w:t>+0,0087</w:t>
            </w:r>
          </w:p>
        </w:tc>
        <w:tc>
          <w:tcPr>
            <w:tcW w:type="dxa" w:w="1701"/>
          </w:tcPr>
          <w:p>
            <w:pPr>
              <w:jc w:val="center"/>
            </w:pPr>
            <w:r>
              <w:rPr>
                <w:rFonts w:ascii="Calibri" w:hAnsi="Calibri"/>
                <w:sz w:val="20"/>
              </w:rPr>
              <w:t>+0,1100</w:t>
            </w:r>
          </w:p>
        </w:tc>
      </w:tr>
    </w:tbl>
    <w:p>
      <w:pPr>
        <w:spacing w:before="0" w:after="80"/>
      </w:pPr>
    </w:p>
    <w:p>
      <w:pPr>
        <w:spacing w:before="0" w:after="80"/>
      </w:pPr>
      <w:r>
        <w:rPr>
          <w:rFonts w:ascii="Calibri" w:hAnsi="Calibri"/>
          <w:b w:val="0"/>
          <w:i w:val="0"/>
          <w:sz w:val="22"/>
        </w:rPr>
        <w:t>El modelo semántico supera al léxico en las tres métricas. El P@10 de 0,52 significa que, en promedio, más de 5 de cada 10 películas recuperadas pertenecen a géneros relevantes para la consulta, frente a apenas 4 en el TF-IDF. El nDCG@10 de 0,66 refleja que no solo se recuperan más documentos relevantes sino que aparecen en mejores posiciones.</w:t>
      </w:r>
    </w:p>
    <w:p>
      <w:pPr>
        <w:spacing w:before="0" w:after="160"/>
      </w:pPr>
      <w:r>
        <w:rPr>
          <w:rFonts w:ascii="Calibri" w:hAnsi="Calibri"/>
          <w:b w:val="0"/>
          <w:i w:val="0"/>
          <w:sz w:val="22"/>
        </w:rPr>
        <w:t>Los valores bajos de MAP son esperables por construcción matemática: con ≈ 160 documentos relevantes en la colección y solo 10 recuperados, la AP máxima teórica es ≈ 0,063. Aun así, el modelo semántico supera al léxico también en esta métrica.</w:t>
      </w:r>
    </w:p>
    <w:p>
      <w:pPr>
        <w:pStyle w:val="Heading2"/>
      </w:pPr>
      <w:r>
        <w:rPr>
          <w:rFonts w:ascii="Calibri" w:hAnsi="Calibri"/>
        </w:rPr>
        <w:t>5.3 Análisis integrado</w:t>
      </w:r>
    </w:p>
    <w:p>
      <w:pPr>
        <w:spacing w:before="0" w:after="80"/>
      </w:pPr>
      <w:r>
        <w:rPr>
          <w:rFonts w:ascii="Calibri" w:hAnsi="Calibri"/>
          <w:b w:val="0"/>
          <w:i w:val="0"/>
          <w:sz w:val="22"/>
        </w:rPr>
        <w:t>Ambas evaluaciones son consistentes: el enfoque semántico supera al léxico en todas las métricas de ambos métodos de evaluación. La coherencia entre los resultados de ítem conocido y relevancia múltiple valida que la ventaja del modelo semántico no es un artefacto metodológico sino una propiedad robusta del sistema.</w:t>
      </w:r>
    </w:p>
    <w:p>
      <w:pPr>
        <w:spacing w:before="0" w:after="160"/>
      </w:pPr>
      <w:r>
        <w:rPr>
          <w:rFonts w:ascii="Calibri" w:hAnsi="Calibri"/>
          <w:b w:val="0"/>
          <w:i w:val="0"/>
          <w:sz w:val="22"/>
        </w:rPr>
        <w:t>La principal debilidad del TF-IDF se manifiesta en consultas que usan paráfrasis o sinónimos: "thief who infiltrates dreams" no comparte términos con la sinopsis de Inception, pero el modelo semántico la recupera en primer lugar. Por el contrario, en consultas que usan términos técnicos o nombres propios presentes en los metadatos (actores, directores), el TF-IDF se desempeña de manera comparable.</w:t>
      </w:r>
    </w:p>
    <w:p>
      <w:pPr>
        <w:pStyle w:val="Heading1"/>
      </w:pPr>
      <w:r>
        <w:rPr>
          <w:rFonts w:ascii="Calibri" w:hAnsi="Calibri"/>
          <w:color w:val="1F4E79"/>
        </w:rPr>
        <w:t>6. Prototipo funcional (Streamlit)</w:t>
      </w:r>
    </w:p>
    <w:p>
      <w:pPr>
        <w:spacing w:before="0" w:after="80"/>
      </w:pPr>
      <w:r>
        <w:rPr>
          <w:rFonts w:ascii="Calibri" w:hAnsi="Calibri"/>
          <w:b w:val="0"/>
          <w:i w:val="0"/>
          <w:sz w:val="22"/>
        </w:rPr>
        <w:t>Como complemento a la evaluación cuantitativa del notebook, se desarrolló una interfaz web con Streamlit que permite realizar consultas en lenguaje natural y visualizar los resultados de ambos enfoques en tiempo real. Su función principal es la exploración cualitativa del sistema: verificar coherencia de resultados, comparar visualmente TF-IDF vs. embeddings y experimentar con distintos tipos de consulta.</w:t>
      </w:r>
    </w:p>
    <w:p>
      <w:pPr>
        <w:spacing w:before="0" w:after="80"/>
      </w:pPr>
      <w:r>
        <w:rPr>
          <w:rFonts w:ascii="Calibri" w:hAnsi="Calibri"/>
          <w:b w:val="0"/>
          <w:i w:val="0"/>
          <w:sz w:val="22"/>
        </w:rPr>
        <w:t>La interfaz no forma parte del sistema evaluado cuantitativamente; su alcance es el de un prototipo de prueba que facilita la inspección manual de los resultados. En el primer arranque descarga el modelo all-mpnet-base-v2 (≈ 420 MB) y vectoriza las 996 películas; el motor queda cacheado en sesión para consultas subsiguientes.</w:t>
      </w:r>
    </w:p>
    <w:tbl>
      <w:tblPr>
        <w:tblStyle w:val="TableGrid"/>
        <w:tblW w:type="auto" w:w="0"/>
        <w:tblLook w:firstColumn="1" w:firstRow="1" w:lastColumn="0" w:lastRow="0" w:noHBand="0" w:noVBand="1" w:val="04A0"/>
      </w:tblPr>
      <w:tblGrid>
        <w:gridCol w:w="4419"/>
        <w:gridCol w:w="4419"/>
      </w:tblGrid>
      <w:tr>
        <w:tc>
          <w:tcPr>
            <w:tcW w:type="dxa" w:w="2835"/>
            <w:shd w:val="clear" w:color="auto" w:fill="1F4E79"/>
          </w:tcPr>
          <w:p>
            <w:pPr>
              <w:jc w:val="center"/>
            </w:pPr>
            <w:r>
              <w:rPr>
                <w:rFonts w:ascii="Calibri" w:hAnsi="Calibri"/>
                <w:b/>
                <w:color w:val="FFFFFF"/>
                <w:sz w:val="20"/>
              </w:rPr>
              <w:t>Componente</w:t>
            </w:r>
          </w:p>
        </w:tc>
        <w:tc>
          <w:tcPr>
            <w:tcW w:type="dxa" w:w="5669"/>
            <w:shd w:val="clear" w:color="auto" w:fill="1F4E79"/>
          </w:tcPr>
          <w:p>
            <w:pPr>
              <w:jc w:val="center"/>
            </w:pPr>
            <w:r>
              <w:rPr>
                <w:rFonts w:ascii="Calibri" w:hAnsi="Calibri"/>
                <w:b/>
                <w:color w:val="FFFFFF"/>
                <w:sz w:val="20"/>
              </w:rPr>
              <w:t>Detalle</w:t>
            </w:r>
          </w:p>
        </w:tc>
      </w:tr>
      <w:tr>
        <w:tc>
          <w:tcPr>
            <w:tcW w:type="dxa" w:w="2835"/>
          </w:tcPr>
          <w:p>
            <w:pPr>
              <w:jc w:val="center"/>
            </w:pPr>
            <w:r>
              <w:rPr>
                <w:rFonts w:ascii="Calibri" w:hAnsi="Calibri"/>
                <w:sz w:val="20"/>
              </w:rPr>
              <w:t>Entrada</w:t>
            </w:r>
          </w:p>
        </w:tc>
        <w:tc>
          <w:tcPr>
            <w:tcW w:type="dxa" w:w="5669"/>
          </w:tcPr>
          <w:p>
            <w:pPr>
              <w:jc w:val="center"/>
            </w:pPr>
            <w:r>
              <w:rPr>
                <w:rFonts w:ascii="Calibri" w:hAnsi="Calibri"/>
                <w:sz w:val="20"/>
              </w:rPr>
              <w:t>Caja de texto libre o consultas de ejemplo predefinidas</w:t>
            </w:r>
          </w:p>
        </w:tc>
      </w:tr>
      <w:tr>
        <w:tc>
          <w:tcPr>
            <w:tcW w:type="dxa" w:w="2835"/>
            <w:shd w:val="clear" w:color="auto" w:fill="D6E4F7"/>
          </w:tcPr>
          <w:p>
            <w:pPr>
              <w:jc w:val="center"/>
            </w:pPr>
            <w:r>
              <w:rPr>
                <w:rFonts w:ascii="Calibri" w:hAnsi="Calibri"/>
                <w:sz w:val="20"/>
              </w:rPr>
              <w:t>Métodos</w:t>
            </w:r>
          </w:p>
        </w:tc>
        <w:tc>
          <w:tcPr>
            <w:tcW w:type="dxa" w:w="5669"/>
            <w:shd w:val="clear" w:color="auto" w:fill="D6E4F7"/>
          </w:tcPr>
          <w:p>
            <w:pPr>
              <w:jc w:val="center"/>
            </w:pPr>
            <w:r>
              <w:rPr>
                <w:rFonts w:ascii="Calibri" w:hAnsi="Calibri"/>
                <w:sz w:val="20"/>
              </w:rPr>
              <w:t>Semántico / Léxico / Comparar ambos (columnas paralelas)</w:t>
            </w:r>
          </w:p>
        </w:tc>
      </w:tr>
      <w:tr>
        <w:tc>
          <w:tcPr>
            <w:tcW w:type="dxa" w:w="2835"/>
          </w:tcPr>
          <w:p>
            <w:pPr>
              <w:jc w:val="center"/>
            </w:pPr>
            <w:r>
              <w:rPr>
                <w:rFonts w:ascii="Calibri" w:hAnsi="Calibri"/>
                <w:sz w:val="20"/>
              </w:rPr>
              <w:t>Top-K</w:t>
            </w:r>
          </w:p>
        </w:tc>
        <w:tc>
          <w:tcPr>
            <w:tcW w:type="dxa" w:w="5669"/>
          </w:tcPr>
          <w:p>
            <w:pPr>
              <w:jc w:val="center"/>
            </w:pPr>
            <w:r>
              <w:rPr>
                <w:rFonts w:ascii="Calibri" w:hAnsi="Calibri"/>
                <w:sz w:val="20"/>
              </w:rPr>
              <w:t>Slider configurable (3 a 10 resultados)</w:t>
            </w:r>
          </w:p>
        </w:tc>
      </w:tr>
      <w:tr>
        <w:tc>
          <w:tcPr>
            <w:tcW w:type="dxa" w:w="2835"/>
            <w:shd w:val="clear" w:color="auto" w:fill="D6E4F7"/>
          </w:tcPr>
          <w:p>
            <w:pPr>
              <w:jc w:val="center"/>
            </w:pPr>
            <w:r>
              <w:rPr>
                <w:rFonts w:ascii="Calibri" w:hAnsi="Calibri"/>
                <w:sz w:val="20"/>
              </w:rPr>
              <w:t>Tarjeta resultado</w:t>
            </w:r>
          </w:p>
        </w:tc>
        <w:tc>
          <w:tcPr>
            <w:tcW w:type="dxa" w:w="5669"/>
            <w:shd w:val="clear" w:color="auto" w:fill="D6E4F7"/>
          </w:tcPr>
          <w:p>
            <w:pPr>
              <w:jc w:val="center"/>
            </w:pPr>
            <w:r>
              <w:rPr>
                <w:rFonts w:ascii="Calibri" w:hAnsi="Calibri"/>
                <w:sz w:val="20"/>
              </w:rPr>
              <w:t>Título, año, géneros, similitud, sinopsis, reparto, director</w:t>
            </w:r>
          </w:p>
        </w:tc>
      </w:tr>
    </w:tbl>
    <w:p/>
    <w:p>
      <w:pPr>
        <w:pStyle w:val="Heading1"/>
      </w:pPr>
      <w:r>
        <w:rPr>
          <w:rFonts w:ascii="Calibri" w:hAnsi="Calibri"/>
          <w:color w:val="1F4E79"/>
        </w:rPr>
        <w:t>7. Limitaciones</w:t>
      </w:r>
    </w:p>
    <w:p>
      <w:pPr>
        <w:pStyle w:val="ListBullet"/>
        <w:spacing w:after="60"/>
      </w:pPr>
      <w:r>
        <w:rPr>
          <w:rFonts w:ascii="Calibri" w:hAnsi="Calibri"/>
          <w:sz w:val="22"/>
        </w:rPr>
        <w:t>Tamaño del dataset: el catálogo se limita a 996 películas; algunas consultas del conjunto de evaluación referencian títulos que no se encuentran en el dataset, penalizando a ambos modelos por igual.</w:t>
      </w:r>
    </w:p>
    <w:p>
      <w:pPr>
        <w:pStyle w:val="ListBullet"/>
        <w:spacing w:after="60"/>
      </w:pPr>
      <w:r>
        <w:rPr>
          <w:rFonts w:ascii="Calibri" w:hAnsi="Calibri"/>
          <w:sz w:val="22"/>
        </w:rPr>
        <w:t>Idioma: el modelo all-mpnet-base-v2 y el vocabulario TF-IDF están optimizados para inglés. Las consultas en español u otros idiomas pueden degradar los resultados.</w:t>
      </w:r>
    </w:p>
    <w:p>
      <w:pPr>
        <w:pStyle w:val="ListBullet"/>
        <w:spacing w:after="60"/>
      </w:pPr>
      <w:r>
        <w:rPr>
          <w:rFonts w:ascii="Calibri" w:hAnsi="Calibri"/>
          <w:sz w:val="22"/>
        </w:rPr>
        <w:t>Qrels de plata (silver standard): los juicios de relevancia de la evaluación §9 se derivan automáticamente de los géneros TMDB, sin intervención de jueces humanos. Esto introduce ruido: películas con géneros iguales pero temática muy diferente reciben el mismo grado de relevancia.</w:t>
      </w:r>
    </w:p>
    <w:p>
      <w:pPr>
        <w:pStyle w:val="ListBullet"/>
        <w:spacing w:after="60"/>
      </w:pPr>
      <w:r>
        <w:rPr>
          <w:rFonts w:ascii="Calibri" w:hAnsi="Calibri"/>
          <w:sz w:val="22"/>
        </w:rPr>
        <w:t>Escalabilidad: la búsqueda por fuerza bruta (coseno sobre 996 vectores) es viable a esta escala, pero no escala a catálogos de millones de títulos sin un índice vectorial.</w:t>
      </w:r>
    </w:p>
    <w:p>
      <w:pPr>
        <w:pStyle w:val="ListBullet"/>
        <w:spacing w:after="60"/>
      </w:pPr>
      <w:r>
        <w:rPr>
          <w:rFonts w:ascii="Calibri" w:hAnsi="Calibri"/>
          <w:sz w:val="22"/>
        </w:rPr>
        <w:t>Diversidad de resultados: el sistema no controla la diversidad del ranking; puede devolver múltiples películas muy similares entre sí.</w:t>
      </w:r>
    </w:p>
    <w:p/>
    <w:p>
      <w:pPr>
        <w:pStyle w:val="Heading1"/>
      </w:pPr>
      <w:r>
        <w:rPr>
          <w:rFonts w:ascii="Calibri" w:hAnsi="Calibri"/>
          <w:color w:val="1F4E79"/>
        </w:rPr>
        <w:t>8. Conclusiones</w:t>
      </w:r>
    </w:p>
    <w:p>
      <w:pPr>
        <w:spacing w:before="0" w:after="80"/>
      </w:pPr>
      <w:r>
        <w:rPr>
          <w:rFonts w:ascii="Calibri" w:hAnsi="Calibri"/>
          <w:b w:val="0"/>
          <w:i w:val="0"/>
          <w:sz w:val="22"/>
        </w:rPr>
        <w:t>El trabajo demostró que los embeddings de Sentence-BERT (all-mpnet-base-v2) superan consistentemente al baseline TF-IDF para la recuperación de películas mediante descripciones en lenguaje natural. La ventaja es robusta: se verifica en ambas metodologías de evaluación (ítem conocido y relevancia múltiple), en todas las métricas calculadas y para distintos tipos de consulta.</w:t>
      </w:r>
    </w:p>
    <w:p>
      <w:pPr>
        <w:spacing w:before="0" w:after="80"/>
      </w:pPr>
      <w:r>
        <w:rPr>
          <w:rFonts w:ascii="Calibri" w:hAnsi="Calibri"/>
          <w:b w:val="0"/>
          <w:i w:val="0"/>
          <w:sz w:val="22"/>
        </w:rPr>
        <w:t>La incorporación de una segunda evaluación con qrels graduados (P@10, MAP, nDCG@10) enriqueció el análisis al capturar un escenario más cercano al uso real del sistema, donde múltiples películas pueden ser válidas para una misma consulta. Los resultados de ambas evaluaciones son coherentes, lo que aumenta la confianza en las conclusiones.</w:t>
      </w:r>
    </w:p>
    <w:p>
      <w:pPr>
        <w:spacing w:before="0" w:after="160"/>
      </w:pPr>
      <w:r>
        <w:rPr>
          <w:rFonts w:ascii="Calibri" w:hAnsi="Calibri"/>
          <w:b w:val="0"/>
          <w:i w:val="0"/>
          <w:sz w:val="22"/>
        </w:rPr>
        <w:t>Como líneas de trabajo futuro se identifican: incorporar un modelo multilingüe para soportar consultas en español; ampliar el dataset vía la API de TMDB; construir juicios de relevancia humanos para un subconjunto de consultas; y escalar la búsqueda semántica con un índice vectorial (FAISS) para colecciones de mayor tamaño.</w:t>
      </w:r>
    </w:p>
    <w:p>
      <w:pPr>
        <w:pStyle w:val="Heading1"/>
      </w:pPr>
      <w:r>
        <w:rPr>
          <w:rFonts w:ascii="Calibri" w:hAnsi="Calibri"/>
          <w:color w:val="1F4E79"/>
        </w:rPr>
        <w:t>9. Referencias</w:t>
      </w:r>
    </w:p>
    <w:p>
      <w:pPr>
        <w:spacing w:after="80"/>
        <w:ind w:left="680" w:hanging="680"/>
      </w:pPr>
      <w:r>
        <w:rPr>
          <w:rFonts w:ascii="Calibri" w:hAnsi="Calibri"/>
          <w:b/>
          <w:sz w:val="20"/>
        </w:rPr>
        <w:t xml:space="preserve">Reimers, N. &amp; Gurevych, I. (2019). </w:t>
      </w:r>
      <w:r>
        <w:rPr>
          <w:rFonts w:ascii="Calibri" w:hAnsi="Calibri"/>
          <w:sz w:val="20"/>
        </w:rPr>
        <w:t>Sentence-BERT: Sentence Embeddings using Siamese BERT-Networks. EMNLP 2019.</w:t>
      </w:r>
    </w:p>
    <w:p>
      <w:pPr>
        <w:spacing w:after="80"/>
        <w:ind w:left="680" w:hanging="680"/>
      </w:pPr>
      <w:r>
        <w:rPr>
          <w:rFonts w:ascii="Calibri" w:hAnsi="Calibri"/>
          <w:b/>
          <w:sz w:val="20"/>
        </w:rPr>
        <w:t xml:space="preserve">Clough, P. &amp; Sanderson, M. (2013). </w:t>
      </w:r>
      <w:r>
        <w:rPr>
          <w:rFonts w:ascii="Calibri" w:hAnsi="Calibri"/>
          <w:sz w:val="20"/>
        </w:rPr>
        <w:t>Evaluating the performance of information retrieval systems using test collections. Information Research, 18(2), paper 582.</w:t>
      </w:r>
    </w:p>
    <w:p>
      <w:pPr>
        <w:spacing w:after="80"/>
        <w:ind w:left="680" w:hanging="680"/>
      </w:pPr>
      <w:r>
        <w:rPr>
          <w:rFonts w:ascii="Calibri" w:hAnsi="Calibri"/>
          <w:b/>
          <w:sz w:val="20"/>
        </w:rPr>
        <w:t xml:space="preserve">Sanderson, M. (2010). </w:t>
      </w:r>
      <w:r>
        <w:rPr>
          <w:rFonts w:ascii="Calibri" w:hAnsi="Calibri"/>
          <w:sz w:val="20"/>
        </w:rPr>
        <w:t>Test Collection Based Evaluation of Information Retrieval Systems. Foundations and Trends in Information Retrieval, 4(4), 247–375.</w:t>
      </w:r>
    </w:p>
    <w:p>
      <w:pPr>
        <w:spacing w:after="80"/>
        <w:ind w:left="680" w:hanging="680"/>
      </w:pPr>
      <w:r>
        <w:rPr>
          <w:rFonts w:ascii="Calibri" w:hAnsi="Calibri"/>
          <w:b/>
          <w:sz w:val="20"/>
        </w:rPr>
        <w:t xml:space="preserve">Järvelin, K. &amp; Kekäläinen, J. (2002). </w:t>
      </w:r>
      <w:r>
        <w:rPr>
          <w:rFonts w:ascii="Calibri" w:hAnsi="Calibri"/>
          <w:sz w:val="20"/>
        </w:rPr>
        <w:t>Cumulated gain-based evaluation of IR techniques. ACM Transactions on Information Systems, 20(4), 422–446.</w:t>
      </w:r>
    </w:p>
    <w:p>
      <w:pPr>
        <w:spacing w:after="80"/>
        <w:ind w:left="680" w:hanging="680"/>
      </w:pPr>
      <w:r>
        <w:rPr>
          <w:rFonts w:ascii="Calibri" w:hAnsi="Calibri"/>
          <w:b/>
          <w:sz w:val="20"/>
        </w:rPr>
        <w:t xml:space="preserve">The Movie Database (TMDB). </w:t>
      </w:r>
      <w:r>
        <w:rPr>
          <w:rFonts w:ascii="Calibri" w:hAnsi="Calibri"/>
          <w:sz w:val="20"/>
        </w:rPr>
        <w:t>API de películas. https://www.themoviedb.org/documentation/api</w:t>
      </w:r>
    </w:p>
    <w:p>
      <w:pPr>
        <w:spacing w:after="80"/>
        <w:ind w:left="680" w:hanging="680"/>
      </w:pPr>
      <w:r>
        <w:rPr>
          <w:rFonts w:ascii="Calibri" w:hAnsi="Calibri"/>
          <w:b/>
          <w:sz w:val="20"/>
        </w:rPr>
        <w:t xml:space="preserve">sentence-transformers/all-mpnet-base-v2. </w:t>
      </w:r>
      <w:r>
        <w:rPr>
          <w:rFonts w:ascii="Calibri" w:hAnsi="Calibri"/>
          <w:sz w:val="20"/>
        </w:rPr>
        <w:t>Hugging Face Model Hub. https://huggingface.co/sentence-transformers/all-mpnet-base-v2</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