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Instituto Entre o Céu e a Favela - Rede Gerando Falcões e Copacabana Palace - A Belmond Hotel unindo suas histórias para transformar a primeira favela do Brasil, o Morro da Providência.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 evento, produzido em parceria com Erlande Lutz Assessoria e Decoração Cerimonial, acontecerá no dia 29 de novembro de 2021, no Copacabana Palace, de 18h até 22h30.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 propósito do Jantar Histórico - Uma noite para transformar vidas é arrecadar fundos para ampliar as ações do Instituto Entre o Céu e a Favela, podendo assim duplicar o número de atendidos para o ano de 2022.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As doações permitirão ajudar a atingir a missão do instituto e transformar a Região Portuária.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Atendimentos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1624 atendimentosPolo Esportivo Cultural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(6-17 anos)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1617atendimentos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Polo Qualificação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Profissional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(+18 anos)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110mulheres formadas em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Qualificação Profissional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Doações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417 cartões de alimentação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disponibilizados pela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Gerando Falcões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596,8 litros de água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(recurso de doações para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Ocupação do Livramento)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420 frascos de álcool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em gel da empresa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Marcinichen Farmacéutica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72 kits de higiene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(recurso de doações para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Ocupação do Livramento)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1190 máscaras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de tecido da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ONG Rio Solidário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1170 litros de leite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150 cestas básicas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(recurso de doações para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Ocupação do Livramento)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Metas para o ano de 2022: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• 1000 atendidos diretos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• 4000 indiretos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Para colaborar com uma mesa ou cadeira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 participar dessa celebração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Para conferir as peças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exclusivas que serão leiloadas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contato@entreoceueafavela.com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@entreoceueafavela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Cores - Entre o Céu e a Favela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• amarelo - EDC74D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• azul tiffany - 60A8B5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• azul - 3F609D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• rosa - CD4F7A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• vermelho - C52D2D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Fontes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• Muli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• Poppins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• Lemon Tuesday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