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  <w:jc w:val="center"/>
      </w:pPr>
      <w:r>
        <w:rPr>
          <w:b/>
          <w:bCs/>
          <w:sz w:val="32"/>
          <w:szCs w:val="32"/>
        </w:rPr>
        <w:t xml:space="preserve">[CETM] CET MANAGER</w:t>
      </w:r>
    </w:p>
    <w:p>
      <w:pPr>
        <w:spacing w:before="1400"/>
        <w:jc w:val="center"/>
      </w:pPr>
      <w:r>
        <w:rPr>
          <w:sz w:val="28"/>
          <w:szCs w:val="28"/>
        </w:rPr>
        <w:t xml:space="preserve">Documentação da Aplicação Mobile</w:t>
      </w:r>
    </w:p>
    <w:p>
      <w:pPr>
        <w:spacing w:before="400"/>
        <w:jc w:val="center"/>
      </w:pPr>
      <w:r>
        <w:rPr>
          <w:sz w:val="24"/>
          <w:szCs w:val="24"/>
        </w:rPr>
        <w:t xml:space="preserve">Entrega 7 – Implementação parcial: controle de mensalidades</w:t>
      </w:r>
    </w:p>
    <w:p>
      <w:pPr>
        <w:spacing w:before="1400"/>
        <w:jc w:val="center"/>
      </w:pPr>
      <w:r>
        <w:rPr>
          <w:sz w:val="28"/>
          <w:szCs w:val="28"/>
        </w:rPr>
        <w:t xml:space="preserve">Versão 1.4</w:t>
      </w:r>
    </w:p>
    <w:p>
      <w:pPr>
        <w:spacing w:before="3600"/>
        <w:jc w:val="center"/>
      </w:pPr>
      <w:r>
        <w:rPr>
          <w:sz w:val="24"/>
          <w:szCs w:val="24"/>
        </w:rPr>
        <w:t xml:space="preserve">Taguatinga-DF</w:t>
      </w:r>
    </w:p>
    <w:p>
      <w:pPr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pStyle w:val="TituloSemNumero"/>
      </w:pPr>
      <w:r>
        <w:t xml:space="preserve">SUMÁRIO</w:t>
      </w:r>
    </w:p>
    <w:p>
      <w:pPr>
        <w:pStyle w:val="Sumario"/>
        <w:tabs>
          <w:tab w:val="right" w:pos="9071" w:leader="dot"/>
        </w:tabs>
      </w:pPr>
      <w:r>
        <w:rPr>
          <w:b w:val="false"/>
          <w:bCs w:val="false"/>
        </w:rPr>
        <w:t xml:space="preserve">Componentes do Projeto Mobile</w:t>
      </w:r>
      <w:r>
        <w:t xml:space="preserve">	3</w:t>
      </w:r>
    </w:p>
    <w:p>
      <w:pPr>
        <w:pStyle w:val="Sumario"/>
        <w:tabs>
          <w:tab w:val="right" w:pos="9071" w:leader="dot"/>
        </w:tabs>
      </w:pPr>
      <w:r>
        <w:rPr>
          <w:b/>
          <w:bCs/>
        </w:rPr>
        <w:t xml:space="preserve">1 INTRODUÇÃO</w:t>
      </w:r>
      <w:r>
        <w:t xml:space="preserve">	4</w:t>
      </w:r>
    </w:p>
    <w:p>
      <w:pPr>
        <w:pStyle w:val="Sumario"/>
        <w:tabs>
          <w:tab w:val="right" w:pos="9071" w:leader="dot"/>
        </w:tabs>
      </w:pPr>
      <w:r>
        <w:rPr>
          <w:b/>
          <w:bCs/>
        </w:rPr>
        <w:t xml:space="preserve">2 VISÃO GERAL DO PRODUTO</w:t>
      </w:r>
      <w:r>
        <w:t xml:space="preserve">	4</w:t>
      </w:r>
    </w:p>
    <w:p>
      <w:pPr>
        <w:pStyle w:val="Sumario"/>
        <w:tabs>
          <w:tab w:val="right" w:pos="9071" w:leader="dot"/>
        </w:tabs>
      </w:pPr>
      <w:r>
        <w:rPr>
          <w:b/>
          <w:bCs/>
        </w:rPr>
        <w:t xml:space="preserve">3 ABREVIAÇÕES E ACRÔNIMOS</w:t>
      </w:r>
      <w:r>
        <w:t xml:space="preserve">	4</w:t>
      </w:r>
    </w:p>
    <w:p>
      <w:pPr>
        <w:pStyle w:val="Sumario"/>
        <w:tabs>
          <w:tab w:val="right" w:pos="9071" w:leader="dot"/>
        </w:tabs>
      </w:pPr>
      <w:r>
        <w:rPr>
          <w:b/>
          <w:bCs/>
        </w:rPr>
        <w:t xml:space="preserve">4 ENVOLVIDOS E USUÁRIOS</w:t>
      </w:r>
      <w:r>
        <w:t xml:space="preserve">	5</w:t>
      </w:r>
    </w:p>
    <w:p>
      <w:pPr>
        <w:pStyle w:val="Sumario"/>
        <w:tabs>
          <w:tab w:val="right" w:pos="9071" w:leader="dot"/>
        </w:tabs>
      </w:pPr>
      <w:r>
        <w:rPr>
          <w:b/>
          <w:bCs/>
        </w:rPr>
        <w:t xml:space="preserve">5 REQUISITOS DA APLICAÇÃO MOBILE</w:t>
      </w:r>
      <w:r>
        <w:t xml:space="preserve">	5</w:t>
      </w:r>
    </w:p>
    <w:p>
      <w:pPr>
        <w:pStyle w:val="Sumario"/>
        <w:tabs>
          <w:tab w:val="right" w:pos="9071" w:leader="dot"/>
        </w:tabs>
        <w:ind w:left="0"/>
      </w:pPr>
      <w:r>
        <w:rPr>
          <w:b w:val="false"/>
          <w:bCs w:val="false"/>
        </w:rPr>
        <w:t xml:space="preserve">5.1 Funcionais</w:t>
      </w:r>
      <w:r>
        <w:t xml:space="preserve">	5</w:t>
      </w:r>
    </w:p>
    <w:p>
      <w:pPr>
        <w:pStyle w:val="Sumario"/>
        <w:tabs>
          <w:tab w:val="right" w:pos="9071" w:leader="dot"/>
        </w:tabs>
        <w:ind w:left="0"/>
      </w:pPr>
      <w:r>
        <w:rPr>
          <w:b w:val="false"/>
          <w:bCs w:val="false"/>
        </w:rPr>
        <w:t xml:space="preserve">5.2 Não funcionais</w:t>
      </w:r>
      <w:r>
        <w:t xml:space="preserve">	6</w:t>
      </w:r>
    </w:p>
    <w:p>
      <w:pPr>
        <w:pStyle w:val="Sumario"/>
        <w:tabs>
          <w:tab w:val="right" w:pos="9071" w:leader="dot"/>
        </w:tabs>
        <w:ind w:left="0"/>
      </w:pPr>
      <w:r>
        <w:rPr>
          <w:b w:val="false"/>
          <w:bCs w:val="false"/>
        </w:rPr>
        <w:t xml:space="preserve">5.3 Regras de negócio</w:t>
      </w:r>
      <w:r>
        <w:t xml:space="preserve">	7</w:t>
      </w:r>
    </w:p>
    <w:p>
      <w:pPr>
        <w:pStyle w:val="Sumario"/>
        <w:tabs>
          <w:tab w:val="right" w:pos="9071" w:leader="dot"/>
        </w:tabs>
      </w:pPr>
      <w:r>
        <w:rPr>
          <w:b/>
          <w:bCs/>
        </w:rPr>
        <w:t xml:space="preserve">6 CASOS DE USO</w:t>
      </w:r>
      <w:r>
        <w:t xml:space="preserve">	8</w:t>
      </w:r>
    </w:p>
    <w:p>
      <w:pPr>
        <w:pStyle w:val="Sumario"/>
        <w:tabs>
          <w:tab w:val="right" w:pos="9071" w:leader="dot"/>
        </w:tabs>
      </w:pPr>
      <w:r>
        <w:rPr>
          <w:b/>
          <w:bCs/>
        </w:rPr>
        <w:t xml:space="preserve">7 ANEXOS (PROTÓTIPOS, IMAGENS DO APP, ARQUITETURA E DOCUMENTOS AUXILIARES)</w:t>
      </w:r>
      <w:r>
        <w:t xml:space="preserve">	9</w:t>
      </w:r>
    </w:p>
    <w:p>
      <w:pPr>
        <w:pStyle w:val="Sumario"/>
        <w:tabs>
          <w:tab w:val="right" w:pos="9071" w:leader="dot"/>
        </w:tabs>
      </w:pPr>
      <w:r>
        <w:rPr>
          <w:b/>
          <w:bCs/>
        </w:rPr>
        <w:t xml:space="preserve">8 IMPLEMENTAÇÃO DA ENTREGA 6</w:t>
      </w:r>
      <w:r>
        <w:t xml:space="preserve">	10</w:t>
      </w:r>
    </w:p>
    <w:p>
      <w:pPr>
        <w:pStyle w:val="Sumario"/>
        <w:tabs>
          <w:tab w:val="right" w:pos="9071" w:leader="dot"/>
        </w:tabs>
      </w:pPr>
      <w:r>
        <w:rPr>
          <w:b/>
          <w:bCs/>
        </w:rPr>
        <w:t xml:space="preserve">9 IMPLEMENTAÇÃO DA ENTREGA 7</w:t>
      </w:r>
      <w:r>
        <w:t xml:space="preserve">	11</w:t>
      </w:r>
    </w:p>
    <w:p>
      <w:pPr>
        <w:pStyle w:val="Sumario"/>
        <w:tabs>
          <w:tab w:val="right" w:pos="9071" w:leader="dot"/>
        </w:tabs>
        <w:ind w:left="0"/>
      </w:pPr>
      <w:r>
        <w:rPr>
          <w:b w:val="false"/>
          <w:bCs w:val="false"/>
        </w:rPr>
        <w:t xml:space="preserve">9.1 Funcionalidade escolhida</w:t>
      </w:r>
      <w:r>
        <w:t xml:space="preserve">	11</w:t>
      </w:r>
    </w:p>
    <w:p>
      <w:pPr>
        <w:pStyle w:val="Sumario"/>
        <w:tabs>
          <w:tab w:val="right" w:pos="9071" w:leader="dot"/>
        </w:tabs>
        <w:ind w:left="0"/>
      </w:pPr>
      <w:r>
        <w:rPr>
          <w:b w:val="false"/>
          <w:bCs w:val="false"/>
        </w:rPr>
        <w:t xml:space="preserve">9.2 Escopo implementado</w:t>
      </w:r>
      <w:r>
        <w:t xml:space="preserve">	12</w:t>
      </w:r>
    </w:p>
    <w:p>
      <w:pPr>
        <w:pStyle w:val="Sumario"/>
        <w:tabs>
          <w:tab w:val="right" w:pos="9071" w:leader="dot"/>
        </w:tabs>
        <w:ind w:left="0"/>
      </w:pPr>
      <w:r>
        <w:rPr>
          <w:b w:val="false"/>
          <w:bCs w:val="false"/>
        </w:rPr>
        <w:t xml:space="preserve">9.3 Regras de validação</w:t>
      </w:r>
      <w:r>
        <w:t xml:space="preserve">	12</w:t>
      </w:r>
    </w:p>
    <w:p>
      <w:pPr>
        <w:pStyle w:val="Sumario"/>
        <w:tabs>
          <w:tab w:val="right" w:pos="9071" w:leader="dot"/>
        </w:tabs>
        <w:ind w:left="0"/>
      </w:pPr>
      <w:r>
        <w:rPr>
          <w:b w:val="false"/>
          <w:bCs w:val="false"/>
        </w:rPr>
        <w:t xml:space="preserve">9.4 Armazenamento e limites desta etapa</w:t>
      </w:r>
      <w:r>
        <w:t xml:space="preserve">	13</w:t>
      </w:r>
    </w:p>
    <w:p>
      <w:pPr>
        <w:pStyle w:val="Sumario"/>
        <w:tabs>
          <w:tab w:val="right" w:pos="9071" w:leader="dot"/>
        </w:tabs>
        <w:ind w:left="0"/>
      </w:pPr>
      <w:r>
        <w:rPr>
          <w:b w:val="false"/>
          <w:bCs w:val="false"/>
        </w:rPr>
        <w:t xml:space="preserve">9.5 Organização do código</w:t>
      </w:r>
      <w:r>
        <w:t xml:space="preserve">	13</w:t>
      </w:r>
    </w:p>
    <w:p>
      <w:pPr>
        <w:pStyle w:val="Sumario"/>
        <w:tabs>
          <w:tab w:val="right" w:pos="9071" w:leader="dot"/>
        </w:tabs>
        <w:ind w:left="0"/>
      </w:pPr>
      <w:r>
        <w:rPr>
          <w:b w:val="false"/>
          <w:bCs w:val="false"/>
        </w:rPr>
        <w:t xml:space="preserve">9.6 Código-fonte</w:t>
      </w:r>
      <w:r>
        <w:t xml:space="preserve">	14</w:t>
      </w:r>
    </w:p>
    <w:p>
      <w:pPr>
        <w:pStyle w:val="Sumario"/>
        <w:tabs>
          <w:tab w:val="right" w:pos="9071" w:leader="dot"/>
        </w:tabs>
      </w:pPr>
      <w:r>
        <w:rPr>
          <w:b/>
          <w:bCs/>
        </w:rPr>
        <w:t xml:space="preserve">10 DEMONSTRAÇÃO DAS FUNCIONALIDADES</w:t>
      </w:r>
      <w:r>
        <w:t xml:space="preserve">	14</w:t>
      </w:r>
    </w:p>
    <w:p>
      <w:pPr>
        <w:pStyle w:val="Sumario"/>
        <w:tabs>
          <w:tab w:val="right" w:pos="9071" w:leader="dot"/>
        </w:tabs>
      </w:pPr>
      <w:r>
        <w:rPr>
          <w:b/>
          <w:bCs/>
        </w:rPr>
        <w:t xml:space="preserve">11 VERIFICAÇÃO E EXECUÇÃO</w:t>
      </w:r>
      <w:r>
        <w:t xml:space="preserve">	16</w:t>
      </w:r>
    </w:p>
    <w:p>
      <w:pPr>
        <w:pStyle w:val="Sumario"/>
        <w:tabs>
          <w:tab w:val="right" w:pos="9071" w:leader="dot"/>
        </w:tabs>
      </w:pPr>
      <w:r>
        <w:rPr>
          <w:b/>
          <w:bCs/>
        </w:rPr>
        <w:t xml:space="preserve">12 PRÓXIMAS ETAPAS</w:t>
      </w:r>
      <w:r>
        <w:t xml:space="preserve">	16</w:t>
      </w:r>
    </w:p>
    <w:p>
      <w:pPr>
        <w:pStyle w:val="Sumario"/>
        <w:tabs>
          <w:tab w:val="right" w:pos="9071" w:leader="dot"/>
        </w:tabs>
      </w:pPr>
      <w:r>
        <w:rPr>
          <w:b/>
          <w:bCs/>
        </w:rPr>
        <w:t xml:space="preserve">REFERÊNCIAS</w:t>
      </w:r>
      <w:r>
        <w:t xml:space="preserve">	17</w:t>
      </w:r>
    </w:p>
    <w:p>
      <w:r>
        <w:br w:type="page"/>
      </w:r>
    </w:p>
    <w:p>
      <w:pPr>
        <w:pStyle w:val="Heading1"/>
      </w:pPr>
      <w:r>
        <w:t xml:space="preserve">Componentes do Projeto Mobile</w:t>
      </w:r>
    </w:p>
    <w:p>
      <w:pPr>
        <w:pStyle w:val="Legenda"/>
        <w:keepNext/>
      </w:pPr>
      <w:r>
        <w:t xml:space="preserve">Quadro 1 – Componentes do projeto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</w:rPr>
              <w:t xml:space="preserve">Matrícula</w:t>
            </w:r>
          </w:p>
        </w:tc>
        <w:tc>
          <w:tcPr>
            <w:tcW w:type="dxa" w:w="6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</w:rPr>
              <w:t xml:space="preserve">Nome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202510629</w:t>
            </w:r>
          </w:p>
        </w:tc>
        <w:tc>
          <w:tcPr>
            <w:tcW w:type="dxa" w:w="6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Lucas Chaibub Amaral de Lemos Santos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r>
        <w:br w:type="page"/>
      </w:r>
    </w:p>
    <w:p>
      <w:pPr>
        <w:pStyle w:val="Heading1"/>
      </w:pPr>
      <w:r>
        <w:t xml:space="preserve">1 INTRODUÇÃO</w:t>
      </w:r>
    </w:p>
    <w:p>
      <w:pPr>
        <w:pStyle w:val="Corpo"/>
      </w:pPr>
      <w:r>
        <w:t xml:space="preserve">O cenário de apostas esportivas no Brasil tem crescido exponencialmente nos últimos anos. Com o aumento de casas de apostas e o investimento feito para atrair cada vez mais jogadores, o setor tem sido um dos grandes destaques no país e movimenta cada vez mais dinheiro.</w:t>
      </w:r>
    </w:p>
    <w:p>
      <w:pPr>
        <w:pStyle w:val="Corpo"/>
      </w:pPr>
      <w:r>
        <w:t xml:space="preserve">Com o crescimento das apostas, surgem também as consultorias esportivas, que têm como objetivo auxiliar os investidores na melhora dos resultados, aprimorando a rotina de investimentos como um todo, isto é, gestão de banca, supervalorização dos investimentos, análises estatísticas, entre outros aspectos.</w:t>
      </w:r>
    </w:p>
    <w:p>
      <w:pPr>
        <w:pStyle w:val="Corpo"/>
      </w:pPr>
      <w:r>
        <w:t xml:space="preserve">Em meio a tantas consultorias já existentes no mercado, a </w:t>
      </w:r>
      <w:r>
        <w:rPr>
          <w:i/>
          <w:iCs/>
        </w:rPr>
        <w:t xml:space="preserve">Conto eFootball Trading</w:t>
      </w:r>
      <w:r>
        <w:t xml:space="preserve"> (CET) vem ganhando destaque desde sua criação, em novembro de 2020. Hoje, com mais de 200 alunos investidores, tornou-se uma necessidade para a CET a criação de um </w:t>
      </w:r>
      <w:r>
        <w:rPr>
          <w:i/>
          <w:iCs/>
        </w:rPr>
        <w:t xml:space="preserve">software</w:t>
      </w:r>
      <w:r>
        <w:t xml:space="preserve"> para o gerenciamento das mensalidades pagas pelos serviços de consultoria prestados. Atualmente, o controle manual dos pagamentos efetivados pelos alunos mostra-se pouco eficaz.</w:t>
      </w:r>
    </w:p>
    <w:p>
      <w:pPr>
        <w:pStyle w:val="Heading1"/>
      </w:pPr>
      <w:r>
        <w:t xml:space="preserve">2 VISÃO GERAL DO PRODUTO</w:t>
      </w:r>
    </w:p>
    <w:p>
      <w:pPr>
        <w:pStyle w:val="Corpo"/>
      </w:pPr>
      <w:r>
        <w:t xml:space="preserve">O APP CET Manager tem como objetivo principal fornecer uma maneira simples, intuitiva e eficiente de realizar o gerenciamento dos clientes da </w:t>
      </w:r>
      <w:r>
        <w:rPr>
          <w:i/>
          <w:iCs/>
        </w:rPr>
        <w:t xml:space="preserve">Conto eFootball Trading</w:t>
      </w:r>
      <w:r>
        <w:t xml:space="preserve">. Por meio da aplicação, será possível cadastrar novos clientes, consultar e atualizar informações de clientes existentes, registrar e acompanhar o pagamento de mensalidades e verificar a situação financeira de cada cliente junto à empresa.</w:t>
      </w:r>
    </w:p>
    <w:p>
      <w:pPr>
        <w:pStyle w:val="Corpo"/>
      </w:pPr>
      <w:r>
        <w:t xml:space="preserve">A aplicação também permitirá identificar clientes com pagamentos pendentes e manter um controle adequado dos clientes que desistiram ou deixaram de utilizar os serviços da consultoria, possibilitando o arquivamento de seus registros sem a necessidade de excluir definitivamente suas informações.</w:t>
      </w:r>
    </w:p>
    <w:p>
      <w:pPr>
        <w:pStyle w:val="Corpo"/>
      </w:pPr>
      <w:r>
        <w:t xml:space="preserve">Dessa forma, o CET Manager pretende centralizar as principais informações relacionadas aos clientes e aos pagamentos da consultoria em um único ambiente </w:t>
      </w:r>
      <w:r>
        <w:rPr>
          <w:i/>
          <w:iCs/>
        </w:rPr>
        <w:t xml:space="preserve">mobile</w:t>
      </w:r>
      <w:r>
        <w:t xml:space="preserve">, facilitando as atividades administrativas e proporcionando maior organização e agilidade no acompanhamento dos serviços prestados.</w:t>
      </w:r>
    </w:p>
    <w:p>
      <w:pPr>
        <w:pStyle w:val="Heading1"/>
      </w:pPr>
      <w:r>
        <w:t xml:space="preserve">3 ABREVIAÇÕES E ACRÔNIMOS</w:t>
      </w:r>
    </w:p>
    <w:p>
      <w:pPr>
        <w:pStyle w:val="Corpo"/>
        <w:tabs>
          <w:tab w:val="left" w:pos="1200"/>
        </w:tabs>
        <w:ind w:firstLine="0"/>
      </w:pPr>
      <w:r>
        <w:rPr>
          <w:b/>
          <w:bCs/>
        </w:rPr>
        <w:t xml:space="preserve">ABNT</w:t>
      </w:r>
      <w:r>
        <w:t xml:space="preserve"> – Associação Brasileira de Normas Técnicas</w:t>
      </w:r>
    </w:p>
    <w:p>
      <w:pPr>
        <w:pStyle w:val="Corpo"/>
        <w:tabs>
          <w:tab w:val="left" w:pos="1200"/>
        </w:tabs>
        <w:ind w:firstLine="0"/>
      </w:pPr>
      <w:r>
        <w:rPr>
          <w:b/>
          <w:bCs/>
        </w:rPr>
        <w:t xml:space="preserve">APK</w:t>
      </w:r>
      <w:r>
        <w:t xml:space="preserve"> – </w:t>
      </w:r>
      <w:r>
        <w:rPr>
          <w:i/>
          <w:iCs/>
        </w:rPr>
        <w:t xml:space="preserve">Android Package</w:t>
      </w:r>
      <w:r>
        <w:t xml:space="preserve"> (pacote de instalação Android)</w:t>
      </w:r>
    </w:p>
    <w:p>
      <w:pPr>
        <w:pStyle w:val="Corpo"/>
        <w:tabs>
          <w:tab w:val="left" w:pos="1200"/>
        </w:tabs>
        <w:ind w:firstLine="0"/>
      </w:pPr>
      <w:r>
        <w:rPr>
          <w:b/>
          <w:bCs/>
        </w:rPr>
        <w:t xml:space="preserve">APP</w:t>
      </w:r>
      <w:r>
        <w:t xml:space="preserve"> – Aplicativo</w:t>
      </w:r>
    </w:p>
    <w:p>
      <w:pPr>
        <w:pStyle w:val="Corpo"/>
        <w:tabs>
          <w:tab w:val="left" w:pos="1200"/>
        </w:tabs>
        <w:ind w:firstLine="0"/>
      </w:pPr>
      <w:r>
        <w:rPr>
          <w:b/>
          <w:bCs/>
        </w:rPr>
        <w:t xml:space="preserve">BD</w:t>
      </w:r>
      <w:r>
        <w:t xml:space="preserve"> – Banco de Dados</w:t>
      </w:r>
    </w:p>
    <w:p>
      <w:pPr>
        <w:pStyle w:val="Corpo"/>
        <w:tabs>
          <w:tab w:val="left" w:pos="1200"/>
        </w:tabs>
        <w:ind w:firstLine="0"/>
      </w:pPr>
      <w:r>
        <w:rPr>
          <w:b/>
          <w:bCs/>
        </w:rPr>
        <w:t xml:space="preserve">CET</w:t>
      </w:r>
      <w:r>
        <w:t xml:space="preserve"> – </w:t>
      </w:r>
      <w:r>
        <w:rPr>
          <w:i/>
          <w:iCs/>
        </w:rPr>
        <w:t xml:space="preserve">Conto eFootball Trading</w:t>
      </w:r>
    </w:p>
    <w:p>
      <w:pPr>
        <w:pStyle w:val="Corpo"/>
        <w:tabs>
          <w:tab w:val="left" w:pos="1200"/>
        </w:tabs>
        <w:ind w:firstLine="0"/>
      </w:pPr>
      <w:r>
        <w:rPr>
          <w:b/>
          <w:bCs/>
        </w:rPr>
        <w:t xml:space="preserve">RF</w:t>
      </w:r>
      <w:r>
        <w:t xml:space="preserve"> – Requisito Funcional</w:t>
      </w:r>
    </w:p>
    <w:p>
      <w:pPr>
        <w:pStyle w:val="Corpo"/>
        <w:tabs>
          <w:tab w:val="left" w:pos="1200"/>
        </w:tabs>
        <w:ind w:firstLine="0"/>
      </w:pPr>
      <w:r>
        <w:rPr>
          <w:b/>
          <w:bCs/>
        </w:rPr>
        <w:t xml:space="preserve">RN</w:t>
      </w:r>
      <w:r>
        <w:t xml:space="preserve"> – Regra de Negócio</w:t>
      </w:r>
    </w:p>
    <w:p>
      <w:pPr>
        <w:pStyle w:val="Corpo"/>
        <w:tabs>
          <w:tab w:val="left" w:pos="1200"/>
        </w:tabs>
        <w:ind w:firstLine="0"/>
      </w:pPr>
      <w:r>
        <w:rPr>
          <w:b/>
          <w:bCs/>
        </w:rPr>
        <w:t xml:space="preserve">RNF</w:t>
      </w:r>
      <w:r>
        <w:t xml:space="preserve"> – Requisito Não Funcional</w:t>
      </w:r>
    </w:p>
    <w:p>
      <w:pPr>
        <w:pStyle w:val="Corpo"/>
        <w:tabs>
          <w:tab w:val="left" w:pos="1200"/>
        </w:tabs>
        <w:ind w:firstLine="0"/>
      </w:pPr>
      <w:r>
        <w:rPr>
          <w:b/>
          <w:bCs/>
        </w:rPr>
        <w:t xml:space="preserve">UC</w:t>
      </w:r>
      <w:r>
        <w:t xml:space="preserve"> – Caso de Uso</w:t>
      </w:r>
    </w:p>
    <w:p>
      <w:pPr>
        <w:pStyle w:val="Heading1"/>
      </w:pPr>
      <w:r>
        <w:t xml:space="preserve">4 ENVOLVIDOS E USUÁRIOS</w:t>
      </w:r>
    </w:p>
    <w:p>
      <w:pPr>
        <w:pStyle w:val="Corpo"/>
      </w:pPr>
      <w:r>
        <w:t xml:space="preserve">O desenvolvimento do CET Manager será realizado por Lucas Chaibub Amaral de Lemos Santos, responsável pelo planejamento, pela documentação, pelo desenvolvimento e pela implementação da aplicação </w:t>
      </w:r>
      <w:r>
        <w:rPr>
          <w:i/>
          <w:iCs/>
        </w:rPr>
        <w:t xml:space="preserve">mobile</w:t>
      </w:r>
      <w:r>
        <w:t xml:space="preserve">. Além do desenvolvedor, estão envolvidos no contexto da aplicação os responsáveis pela administração da </w:t>
      </w:r>
      <w:r>
        <w:rPr>
          <w:i/>
          <w:iCs/>
        </w:rPr>
        <w:t xml:space="preserve">Conto eFootball Trading</w:t>
      </w:r>
      <w:r>
        <w:t xml:space="preserve">, uma vez que o aplicativo tem como finalidade auxiliar diretamente no gerenciamento das informações relacionadas aos clientes e aos pagamentos pelos serviços prestados.</w:t>
      </w:r>
    </w:p>
    <w:p>
      <w:pPr>
        <w:pStyle w:val="Corpo"/>
      </w:pPr>
      <w:r>
        <w:t xml:space="preserve">O principal perfil de usuário do CET Manager será, portanto, o administrador da consultoria. Esse usuário será responsável por utilizar o aplicativo para cadastrar e consultar clientes, atualizar seus dados, registrar pagamentos, acompanhar a situação financeira de cada cliente e arquivar registros de clientes desistentes ou inadimplentes.</w:t>
      </w:r>
    </w:p>
    <w:p>
      <w:pPr>
        <w:pStyle w:val="Corpo"/>
      </w:pPr>
      <w:r>
        <w:t xml:space="preserve">Por se tratar de uma ferramenta voltada ao gerenciamento administrativo, espera-se que o usuário possua conhecimentos básicos sobre a operação da consultoria e sobre o uso de dispositivos móveis. A aplicação deverá apresentar uma interface simples e intuitiva, permitindo que as principais operações sejam realizadas de maneira rápida e sem a necessidade de conhecimentos técnicos avançados.</w:t>
      </w:r>
    </w:p>
    <w:p>
      <w:pPr>
        <w:pStyle w:val="Heading1"/>
      </w:pPr>
      <w:r>
        <w:t xml:space="preserve">5 REQUISITOS DA APLICAÇÃO MOBILE</w:t>
      </w:r>
    </w:p>
    <w:p>
      <w:pPr>
        <w:pStyle w:val="Heading2"/>
      </w:pPr>
      <w:r>
        <w:t xml:space="preserve">5.1 Funcionais</w:t>
      </w:r>
    </w:p>
    <w:p>
      <w:pPr>
        <w:pStyle w:val="Heading3"/>
      </w:pPr>
      <w:r>
        <w:t xml:space="preserve">5.1.1 [RF01] Cadastrar clientes</w:t>
      </w:r>
    </w:p>
    <w:p>
      <w:pPr>
        <w:pStyle w:val="Corpo"/>
      </w:pPr>
      <w:r>
        <w:t xml:space="preserve">O sistema deve permitir ao administrador cadastrar novos clientes, armazenando as informações necessárias para sua identificação e gerenciamento.</w:t>
      </w:r>
    </w:p>
    <w:p>
      <w:pPr>
        <w:pStyle w:val="Heading3"/>
      </w:pPr>
      <w:r>
        <w:t xml:space="preserve">5.1.2 [RF02] Consultar clientes</w:t>
      </w:r>
    </w:p>
    <w:p>
      <w:pPr>
        <w:pStyle w:val="Corpo"/>
      </w:pPr>
      <w:r>
        <w:t xml:space="preserve">O sistema deve permitir ao administrador consultar os clientes cadastrados, possibilitando a visualização das informações e da situação atual de cada cliente.</w:t>
      </w:r>
    </w:p>
    <w:p>
      <w:pPr>
        <w:pStyle w:val="Heading3"/>
      </w:pPr>
      <w:r>
        <w:t xml:space="preserve">5.1.3 [RF03] Atualizar dados do cliente</w:t>
      </w:r>
    </w:p>
    <w:p>
      <w:pPr>
        <w:pStyle w:val="Corpo"/>
      </w:pPr>
      <w:r>
        <w:t xml:space="preserve">O sistema deve permitir ao administrador alterar e atualizar as informações dos clientes cadastrados, mantendo seus registros atualizados.</w:t>
      </w:r>
    </w:p>
    <w:p>
      <w:pPr>
        <w:pStyle w:val="Heading3"/>
      </w:pPr>
      <w:r>
        <w:t xml:space="preserve">5.1.4 [RF04] Registrar pagamento</w:t>
      </w:r>
    </w:p>
    <w:p>
      <w:pPr>
        <w:pStyle w:val="Corpo"/>
      </w:pPr>
      <w:r>
        <w:t xml:space="preserve">O sistema deve permitir ao administrador registrar os pagamentos das mensalidades realizados pelos clientes, armazenando as informações necessárias para o acompanhamento financeiro.</w:t>
      </w:r>
    </w:p>
    <w:p>
      <w:pPr>
        <w:pStyle w:val="Heading3"/>
      </w:pPr>
      <w:r>
        <w:t xml:space="preserve">5.1.5 [RF05] Consultar situação financeira</w:t>
      </w:r>
    </w:p>
    <w:p>
      <w:pPr>
        <w:pStyle w:val="Corpo"/>
      </w:pPr>
      <w:r>
        <w:t xml:space="preserve">O sistema deve permitir ao administrador consultar a situação financeira de cada cliente, identificando mensalidades pagas e pendentes.</w:t>
      </w:r>
    </w:p>
    <w:p>
      <w:pPr>
        <w:pStyle w:val="Heading3"/>
      </w:pPr>
      <w:r>
        <w:t xml:space="preserve">5.1.6 [RF06] Identificar clientes inadimplentes</w:t>
      </w:r>
    </w:p>
    <w:p>
      <w:pPr>
        <w:pStyle w:val="Corpo"/>
      </w:pPr>
      <w:r>
        <w:t xml:space="preserve">O sistema deve permitir ao administrador identificar clientes que possuem pagamentos pendentes, facilitando o acompanhamento das mensalidades em atraso.</w:t>
      </w:r>
    </w:p>
    <w:p>
      <w:pPr>
        <w:pStyle w:val="Heading3"/>
      </w:pPr>
      <w:r>
        <w:t xml:space="preserve">5.1.7 [RF07] Atualizar situação do cliente</w:t>
      </w:r>
    </w:p>
    <w:p>
      <w:pPr>
        <w:pStyle w:val="Corpo"/>
      </w:pPr>
      <w:r>
        <w:t xml:space="preserve">O sistema deve permitir ao administrador alterar a situação cadastral do cliente de acordo com sua relação com a consultoria, possibilitando identificar clientes ativos, inadimplentes ou desistentes.</w:t>
      </w:r>
    </w:p>
    <w:p>
      <w:pPr>
        <w:pStyle w:val="Heading3"/>
      </w:pPr>
      <w:r>
        <w:t xml:space="preserve">5.1.8 [RF08] Arquivar cliente</w:t>
      </w:r>
    </w:p>
    <w:p>
      <w:pPr>
        <w:pStyle w:val="Corpo"/>
      </w:pPr>
      <w:r>
        <w:t xml:space="preserve">O sistema deve permitir ao administrador arquivar clientes que desistiram da consultoria ou que não fazem mais parte da base ativa, mantendo seus registros armazenados para futuras consultas.</w:t>
      </w:r>
    </w:p>
    <w:p>
      <w:pPr>
        <w:pStyle w:val="Heading2"/>
      </w:pPr>
      <w:r>
        <w:t xml:space="preserve">5.2 Não funcionais</w:t>
      </w:r>
    </w:p>
    <w:p>
      <w:pPr>
        <w:pStyle w:val="Heading3"/>
      </w:pPr>
      <w:r>
        <w:t xml:space="preserve">5.2.1 [RNF01] Usabilidade</w:t>
      </w:r>
    </w:p>
    <w:p>
      <w:pPr>
        <w:pStyle w:val="Corpo"/>
      </w:pPr>
      <w:r>
        <w:t xml:space="preserve">O aplicativo deve apresentar uma interface simples e intuitiva, permitindo que o administrador realize as principais operações de gerenciamento sem conhecimentos técnicos avançados.</w:t>
      </w:r>
    </w:p>
    <w:p>
      <w:pPr>
        <w:pStyle w:val="Heading3"/>
      </w:pPr>
      <w:r>
        <w:t xml:space="preserve">5.2.2 [RNF02] Desempenho</w:t>
      </w:r>
    </w:p>
    <w:p>
      <w:pPr>
        <w:pStyle w:val="Corpo"/>
      </w:pPr>
      <w:r>
        <w:t xml:space="preserve">O aplicativo deve responder às ações do usuário em tempo adequado, evitando atrasos desnecessários durante consultas, cadastros e registros de pagamentos.</w:t>
      </w:r>
    </w:p>
    <w:p>
      <w:pPr>
        <w:pStyle w:val="Heading3"/>
      </w:pPr>
      <w:r>
        <w:t xml:space="preserve">5.2.3 [RNF03] Segurança</w:t>
      </w:r>
    </w:p>
    <w:p>
      <w:pPr>
        <w:pStyle w:val="Corpo"/>
      </w:pPr>
      <w:r>
        <w:t xml:space="preserve">O acesso às informações dos clientes e dos pagamentos deve ser protegido, permitindo que somente usuários autorizados utilizem as funcionalidades administrativas do aplicativo.</w:t>
      </w:r>
    </w:p>
    <w:p>
      <w:pPr>
        <w:pStyle w:val="Heading3"/>
      </w:pPr>
      <w:r>
        <w:t xml:space="preserve">5.2.4 [RNF04] Confiabilidade</w:t>
      </w:r>
    </w:p>
    <w:p>
      <w:pPr>
        <w:pStyle w:val="Corpo"/>
      </w:pPr>
      <w:r>
        <w:t xml:space="preserve">O sistema deve manter os dados cadastrados de forma consistente, evitando a perda ou a alteração indevida das informações dos clientes e dos pagamentos.</w:t>
      </w:r>
    </w:p>
    <w:p>
      <w:pPr>
        <w:pStyle w:val="Heading3"/>
      </w:pPr>
      <w:r>
        <w:t xml:space="preserve">5.2.5 [RNF05] Compatibilidade</w:t>
      </w:r>
    </w:p>
    <w:p>
      <w:pPr>
        <w:pStyle w:val="Corpo"/>
      </w:pPr>
      <w:r>
        <w:t xml:space="preserve">O aplicativo deve ser desenvolvido para utilização em dispositivos móveis compatíveis com a plataforma definida para o projeto.</w:t>
      </w:r>
    </w:p>
    <w:p>
      <w:pPr>
        <w:pStyle w:val="Heading2"/>
      </w:pPr>
      <w:r>
        <w:t xml:space="preserve">5.3 Regras de negócio</w:t>
      </w:r>
    </w:p>
    <w:p>
      <w:pPr>
        <w:pStyle w:val="Heading3"/>
      </w:pPr>
      <w:r>
        <w:t xml:space="preserve">5.3.1 [RN001] Cadastro de cliente</w:t>
      </w:r>
    </w:p>
    <w:p>
      <w:pPr>
        <w:pStyle w:val="Corpo"/>
      </w:pPr>
      <w:r>
        <w:t xml:space="preserve">Todo cliente cadastrado no sistema deve possuir informações suficientes para sua identificação e acompanhamento dentro da consultoria.</w:t>
      </w:r>
    </w:p>
    <w:p>
      <w:pPr>
        <w:pStyle w:val="Heading3"/>
      </w:pPr>
      <w:r>
        <w:t xml:space="preserve">5.3.2 [RN002] Controle de mensalidades</w:t>
      </w:r>
    </w:p>
    <w:p>
      <w:pPr>
        <w:pStyle w:val="Corpo"/>
      </w:pPr>
      <w:r>
        <w:t xml:space="preserve">Cada pagamento registrado deve estar associado ao respectivo cliente, permitindo acompanhar as mensalidades pagas e pendentes.</w:t>
      </w:r>
    </w:p>
    <w:p>
      <w:pPr>
        <w:pStyle w:val="Heading3"/>
      </w:pPr>
      <w:r>
        <w:t xml:space="preserve">5.3.3 [RN003] Acesso ao aplicativo mobile</w:t>
      </w:r>
    </w:p>
    <w:p>
      <w:pPr>
        <w:pStyle w:val="Corpo"/>
      </w:pPr>
      <w:r>
        <w:t xml:space="preserve">O acesso às funcionalidades administrativas do CET Manager deve ser restrito ao administrador autorizado da consultoria.</w:t>
      </w:r>
    </w:p>
    <w:p>
      <w:pPr>
        <w:pStyle w:val="Heading3"/>
      </w:pPr>
      <w:r>
        <w:t xml:space="preserve">5.3.4 [RN004] Situação do cliente</w:t>
      </w:r>
    </w:p>
    <w:p>
      <w:pPr>
        <w:pStyle w:val="Corpo"/>
      </w:pPr>
      <w:r>
        <w:t xml:space="preserve">A situação do cliente deve refletir sua relação atual com a consultoria, permitindo classificá-lo como ativo, inadimplente ou desistente.</w:t>
      </w:r>
    </w:p>
    <w:p>
      <w:pPr>
        <w:pStyle w:val="Heading3"/>
      </w:pPr>
      <w:r>
        <w:t xml:space="preserve">5.3.5 [RN005] Arquivamento do cliente</w:t>
      </w:r>
    </w:p>
    <w:p>
      <w:pPr>
        <w:pStyle w:val="Corpo"/>
      </w:pPr>
      <w:r>
        <w:t xml:space="preserve">Clientes que desistirem da consultoria ou não fizerem mais parte da base ativa devem ser arquivados, preservando seus registros para futuras consultas sem excluí-los definitivamente.</w:t>
      </w:r>
    </w:p>
    <w:p>
      <w:pPr>
        <w:pStyle w:val="Heading1"/>
      </w:pPr>
      <w:r>
        <w:t xml:space="preserve">6 CASOS DE USO</w:t>
      </w:r>
    </w:p>
    <w:p>
      <w:pPr>
        <w:pStyle w:val="Corpo"/>
      </w:pPr>
      <w:r>
        <w:t xml:space="preserve">O Quadro 2 resume os casos de uso do CET Manager, e a Figura 1 apresenta o diagrama correspondente, no qual o administrador é o ator principal.</w:t>
      </w:r>
    </w:p>
    <w:p>
      <w:pPr>
        <w:pStyle w:val="Legenda"/>
        <w:keepNext/>
      </w:pPr>
      <w:r>
        <w:t xml:space="preserve">Quadro 2 – Casos de uso do CET Manager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5071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UC01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Cadastrar cliente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Permite ao administrador cadastrar novos clientes no sistema.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UC02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Consultar clientes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Permite consultar os clientes cadastrados e visualizar suas informações e situação atual.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UC03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Atualizar dados do cliente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Permite alterar e manter atualizadas as informações dos clientes cadastrados.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UC04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Registrar pagamento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Permite registrar os pagamentos das mensalidades realizados pelos clientes.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UC05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Consultar situação financeira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Permite consultar mensalidades pagas e pendentes de cada cliente.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UC06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Identificar clientes inadimplentes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Permite identificar clientes que possuem pagamentos pendentes.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UC07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Atualizar situação do cliente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Permite classificar a situação do cliente como ativo, inadimplente ou desistente.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UC08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Arquivar cliente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Permite arquivar clientes que não fazem mais parte da base ativa, preservando seus registros.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Legenda"/>
        <w:keepNext/>
      </w:pPr>
      <w:r>
        <w:t xml:space="preserve">Figura 1 – Diagrama de casos de uso do CET Manager</w:t>
      </w:r>
    </w:p>
    <w:p>
      <w:pPr>
        <w:keepNext/>
        <w:spacing w:line="240"/>
        <w:jc w:val="center"/>
      </w:pPr>
      <w:r>
        <w:drawing>
          <wp:inline distT="0" distB="0" distL="0" distR="0">
            <wp:extent cx="5400675" cy="36004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 (2026).</w:t>
      </w:r>
    </w:p>
    <w:p>
      <w:pPr>
        <w:pStyle w:val="Heading1"/>
      </w:pPr>
      <w:r>
        <w:t xml:space="preserve">7 ANEXOS (PROTÓTIPOS, IMAGENS DO APP, ARQUITETURA E DOCUMENTOS AUXILIARES)</w:t>
      </w:r>
    </w:p>
    <w:p>
      <w:pPr>
        <w:pStyle w:val="Corpo"/>
      </w:pPr>
      <w:r>
        <w:t xml:space="preserve">A Figura 2 apresenta os protótipos de interface elaborados para a visão completa do produto, e a Figura 3 apresenta a arquitetura proposta. Esses materiais representam o planejamento do sistema e não comprovam, por si só, que todas as funções já foram implementadas; as funcionalidades efetivamente desenvolvidas estão descritas nas seções 8 e 9.</w:t>
      </w:r>
    </w:p>
    <w:p>
      <w:pPr>
        <w:pStyle w:val="Legenda"/>
        <w:keepNext/>
      </w:pPr>
      <w:r>
        <w:t xml:space="preserve">Figura 2 – Protótipos de interface do CET Manager</w:t>
      </w:r>
    </w:p>
    <w:p>
      <w:pPr>
        <w:keepNext/>
        <w:spacing w:line="240"/>
        <w:jc w:val="center"/>
      </w:pPr>
      <w:r>
        <w:drawing>
          <wp:inline distT="0" distB="0" distL="0" distR="0">
            <wp:extent cx="5762625" cy="38385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 (2026).</w:t>
      </w:r>
    </w:p>
    <w:p>
      <w:pPr>
        <w:pStyle w:val="Legenda"/>
        <w:keepNext/>
      </w:pPr>
      <w:r>
        <w:t xml:space="preserve">Figura 3 – Arquitetura proposta para o CET Manager</w:t>
      </w:r>
    </w:p>
    <w:p>
      <w:pPr>
        <w:keepNext/>
        <w:spacing w:line="240"/>
        <w:jc w:val="center"/>
      </w:pPr>
      <w:r>
        <w:drawing>
          <wp:inline distT="0" distB="0" distL="0" distR="0">
            <wp:extent cx="4676775" cy="34575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 (2026).</w:t>
      </w:r>
    </w:p>
    <w:p>
      <w:pPr>
        <w:pStyle w:val="Heading1"/>
      </w:pPr>
      <w:r>
        <w:t xml:space="preserve">8 IMPLEMENTAÇÃO DA ENTREGA 6</w:t>
      </w:r>
    </w:p>
    <w:p>
      <w:pPr>
        <w:pStyle w:val="Corpo"/>
      </w:pPr>
      <w:r>
        <w:t xml:space="preserve">A Entrega 6 implementou o primeiro fluxo utilizável do aplicativo, desenvolvido em Java, com interfaces em XML: o cadastro de clientes (RF01) e a consulta dos dados cadastrais (RF02), com lista, pesquisa por nome ou </w:t>
      </w:r>
      <w:r>
        <w:rPr>
          <w:i/>
          <w:iCs/>
        </w:rPr>
        <w:t xml:space="preserve">e-mail</w:t>
      </w:r>
      <w:r>
        <w:t xml:space="preserve"> e visualização dos detalhes. O cadastro exige nome (de 3 a 100 caracteres), </w:t>
      </w:r>
      <w:r>
        <w:rPr>
          <w:i/>
          <w:iCs/>
        </w:rPr>
        <w:t xml:space="preserve">e-mail</w:t>
      </w:r>
      <w:r>
        <w:t xml:space="preserve"> válido (até 120 caracteres) e telefone com DDD (10 ou 11 dígitos), e recusa </w:t>
      </w:r>
      <w:r>
        <w:rPr>
          <w:i/>
          <w:iCs/>
        </w:rPr>
        <w:t xml:space="preserve">e-mails</w:t>
      </w:r>
      <w:r>
        <w:t xml:space="preserve"> duplicados, desconsiderando maiúsculas e espaços nas extremidades.</w:t>
      </w:r>
    </w:p>
    <w:p>
      <w:pPr>
        <w:pStyle w:val="Corpo"/>
      </w:pPr>
      <w:r>
        <w:t xml:space="preserve">Os registros são mantidos em memória enquanto o processo do aplicativo permanece ativo; não há banco de dados, arquivo ou serviço remoto nesta fase. A Figura 4 reproduz as capturas obtidas naquela entrega, que continuam válidas para o fluxo de clientes.</w:t>
      </w:r>
    </w:p>
    <w:p>
      <w:pPr>
        <w:pStyle w:val="Legenda"/>
        <w:keepNext/>
      </w:pPr>
      <w:r>
        <w:t xml:space="preserve">Figura 4 – Funcionalidades da Entrega 6</w:t>
      </w:r>
    </w:p>
    <w:tbl>
      <w:tblPr>
        <w:tblW w:type="dxa" w:w="9069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23"/>
        <w:gridCol w:w="3023"/>
        <w:gridCol w:w="3023"/>
      </w:tblGrid>
      <w:tr>
        <w:trPr>
          <w:cantSplit/>
        </w:trPr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keepNext/>
              <w:spacing w:line="240"/>
              <w:jc w:val="center"/>
            </w:pPr>
            <w:r>
              <w:drawing>
                <wp:inline distT="0" distB="0" distL="0" distR="0">
                  <wp:extent cx="1400175" cy="2486025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onte"/>
              <w:jc w:val="center"/>
            </w:pPr>
            <w:r>
              <w:t xml:space="preserve">(a) Lista de clientes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keepNext/>
              <w:spacing w:line="240"/>
              <w:jc w:val="center"/>
            </w:pPr>
            <w:r>
              <w:drawing>
                <wp:inline distT="0" distB="0" distL="0" distR="0">
                  <wp:extent cx="1400175" cy="2486025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onte"/>
              <w:jc w:val="center"/>
            </w:pPr>
            <w:r>
              <w:t xml:space="preserve">(b) Cadastro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keepNext/>
              <w:spacing w:line="240"/>
              <w:jc w:val="center"/>
            </w:pPr>
            <w:r>
              <w:drawing>
                <wp:inline distT="0" distB="0" distL="0" distR="0">
                  <wp:extent cx="1400175" cy="2486025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onte"/>
              <w:jc w:val="center"/>
            </w:pPr>
            <w:r>
              <w:t xml:space="preserve">(c) Detalhes</w:t>
            </w:r>
          </w:p>
        </w:tc>
      </w:tr>
      <w:tr>
        <w:trPr>
          <w:cantSplit/>
        </w:trPr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keepNext/>
              <w:spacing w:line="240"/>
              <w:jc w:val="center"/>
            </w:pPr>
            <w:r>
              <w:drawing>
                <wp:inline distT="0" distB="0" distL="0" distR="0">
                  <wp:extent cx="1400175" cy="2486025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onte"/>
              <w:jc w:val="center"/>
            </w:pPr>
            <w:r>
              <w:t xml:space="preserve">(d) Validação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keepNext/>
              <w:spacing w:line="240"/>
              <w:jc w:val="center"/>
            </w:pPr>
            <w:r>
              <w:drawing>
                <wp:inline distT="0" distB="0" distL="0" distR="0">
                  <wp:extent cx="1400175" cy="2486025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onte"/>
              <w:jc w:val="center"/>
            </w:pPr>
            <w:r>
              <w:t xml:space="preserve">(e) Busca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keepNext/>
              <w:spacing w:line="240"/>
              <w:jc w:val="center"/>
            </w:pPr>
            <w:r>
              <w:drawing>
                <wp:inline distT="0" distB="0" distL="0" distR="0">
                  <wp:extent cx="1400175" cy="2486025"/>
                  <wp:effectExtent t="0" r="0" b="0" l="0"/>
                  <wp:docPr id="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onte"/>
              <w:jc w:val="center"/>
            </w:pPr>
            <w:r>
              <w:t xml:space="preserve">(f) E-mail duplicado</w:t>
            </w:r>
          </w:p>
        </w:tc>
      </w:tr>
    </w:tbl>
    <w:p>
      <w:pPr>
        <w:pStyle w:val="Fonte"/>
      </w:pPr>
      <w:r>
        <w:t xml:space="preserve">Fonte: elaborado pelo autor (2026), com capturas da versão da Entrega 6.</w:t>
      </w:r>
    </w:p>
    <w:p>
      <w:pPr>
        <w:pStyle w:val="Heading1"/>
      </w:pPr>
      <w:r>
        <w:t xml:space="preserve">9 IMPLEMENTAÇÃO DA ENTREGA 7</w:t>
      </w:r>
    </w:p>
    <w:p>
      <w:pPr>
        <w:pStyle w:val="Heading2"/>
      </w:pPr>
      <w:r>
        <w:t xml:space="preserve">9.1 Funcionalidade escolhida</w:t>
      </w:r>
    </w:p>
    <w:p>
      <w:pPr>
        <w:pStyle w:val="Corpo"/>
      </w:pPr>
      <w:r>
        <w:t xml:space="preserve">A Entrega 7 acrescenta ao CET Manager o </w:t>
      </w:r>
      <w:r>
        <w:rPr>
          <w:b/>
          <w:bCs/>
        </w:rPr>
        <w:t xml:space="preserve">controle de mensalidades</w:t>
      </w:r>
      <w:r>
        <w:t xml:space="preserve">, que é a principal necessidade da CET descrita na Introdução: substituir o controle manual dos pagamentos efetuados pelos alunos. A escolha aproveita o cadastro e a consulta de clientes da Entrega 6, que já fornecem a base para associar cada pagamento ao respectivo cliente, conforme a regra RN002.</w:t>
      </w:r>
    </w:p>
    <w:p>
      <w:pPr>
        <w:pStyle w:val="Corpo"/>
      </w:pPr>
      <w:r>
        <w:t xml:space="preserve">A funcionalidade reúne três partes: o registro de pagamento, a consulta da situação financeira do cliente e um relatório de mensalidades da competência atual. Assim como na etapa anterior, trata-se de uma implementação parcial: os dados permanecem em memória, e a persistência será desenvolvida na etapa de banco de dados da disciplina.</w:t>
      </w:r>
    </w:p>
    <w:p>
      <w:pPr>
        <w:pStyle w:val="Heading2"/>
      </w:pPr>
      <w:r>
        <w:t xml:space="preserve">9.2 Escopo implementado</w:t>
      </w:r>
    </w:p>
    <w:p>
      <w:pPr>
        <w:pStyle w:val="Corpo"/>
      </w:pPr>
      <w:r>
        <w:t xml:space="preserve">O Quadro 3 relaciona os requisitos do documento ao que foi efetivamente implementado nesta entrega.</w:t>
      </w:r>
    </w:p>
    <w:p>
      <w:pPr>
        <w:pStyle w:val="Legenda"/>
        <w:keepNext/>
      </w:pPr>
      <w:r>
        <w:t xml:space="preserve">Quadro 3 – Requisitos atendidos na Entrega 7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71"/>
        <w:gridCol w:w="2400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</w:rPr>
              <w:t xml:space="preserve">Implementação na Entrega 7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RF04 – Registrar pagamento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Registro da competência (MM/AAAA), do valor pago e da data do pagamento para o cliente selecionado.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Implementado (em memória)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RF05 – Consultar situação financeira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Nos detalhes do cliente: situação da mensalidade do mês atual (paga ou pendente) e histórico de pagamentos.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Implementado parcialmente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RF06 – Identificar clientes inadimplentes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Relatório de mensalidades da competência atual, com clientes pendentes, clientes pagos e total recebido.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Parcial: identifica pendências; regras de vencimento e inadimplência ainda não definidas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RF02 – Consultar clientes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A lista de clientes passa a exibir a situação da mensalidade do mês.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Complementado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RN002 – Controle de mensalidades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Cada pagamento é associado a um cliente, com no máximo um pagamento por competência.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Atendida (em memória)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9.3 Regras de validação</w:t>
      </w:r>
    </w:p>
    <w:p>
      <w:pPr>
        <w:pStyle w:val="Corpo"/>
      </w:pPr>
      <w:r>
        <w:t xml:space="preserve">Como o documento de requisitos não detalha os campos do pagamento, as regras a seguir são decisões desta etapa de implementação:</w:t>
      </w:r>
    </w:p>
    <w:p>
      <w:pPr>
        <w:pStyle w:val="Corpo"/>
        <w:numPr>
          <w:ilvl w:val="0"/>
          <w:numId w:val="2"/>
        </w:numPr>
        <w:ind w:left="1068" w:hanging="360" w:firstLine="0"/>
      </w:pPr>
      <w:r>
        <w:t xml:space="preserve">a competência é obrigatória, no formato MM/AAAA, e deve estar entre 11/2020, mês de criação da CET informado na Introdução, e o mês atual;</w:t>
      </w:r>
    </w:p>
    <w:p>
      <w:pPr>
        <w:pStyle w:val="Corpo"/>
        <w:numPr>
          <w:ilvl w:val="0"/>
          <w:numId w:val="2"/>
        </w:numPr>
        <w:ind w:left="1068" w:hanging="360" w:firstLine="0"/>
      </w:pPr>
      <w:r>
        <w:t xml:space="preserve">o valor é obrigatório, deve ser maior que zero e menor que R$ 100.000,00, com até duas casas decimais, aceitando vírgula ou ponto como separador decimal;</w:t>
      </w:r>
    </w:p>
    <w:p>
      <w:pPr>
        <w:pStyle w:val="Corpo"/>
        <w:numPr>
          <w:ilvl w:val="0"/>
          <w:numId w:val="2"/>
        </w:numPr>
        <w:ind w:left="1068" w:hanging="360" w:firstLine="0"/>
      </w:pPr>
      <w:r>
        <w:t xml:space="preserve">a data do pagamento é obrigatória, deve existir no calendário e não pode ser futura;</w:t>
      </w:r>
    </w:p>
    <w:p>
      <w:pPr>
        <w:pStyle w:val="Corpo"/>
        <w:numPr>
          <w:ilvl w:val="0"/>
          <w:numId w:val="2"/>
        </w:numPr>
        <w:ind w:left="1068" w:hanging="360" w:firstLine="0"/>
      </w:pPr>
      <w:r>
        <w:t xml:space="preserve">cada cliente aceita apenas um pagamento por competência;</w:t>
      </w:r>
    </w:p>
    <w:p>
      <w:pPr>
        <w:pStyle w:val="Corpo"/>
        <w:numPr>
          <w:ilvl w:val="0"/>
          <w:numId w:val="2"/>
        </w:numPr>
        <w:ind w:left="1068" w:hanging="360" w:firstLine="0"/>
      </w:pPr>
      <w:r>
        <w:t xml:space="preserve">considera-se pendente o cliente sem pagamento registrado para a competência consultada.</w:t>
      </w:r>
    </w:p>
    <w:p>
      <w:pPr>
        <w:pStyle w:val="Corpo"/>
      </w:pPr>
      <w:r>
        <w:t xml:space="preserve">A tela de registro já sugere a competência e a data atuais, reduzindo a digitação. Quando uma regra não é atendida, o aplicativo mantém os dados digitados e exibe a mensagem correspondente, sem registrar o pagamento.</w:t>
      </w:r>
    </w:p>
    <w:p>
      <w:pPr>
        <w:pStyle w:val="Heading2"/>
      </w:pPr>
      <w:r>
        <w:t xml:space="preserve">9.4 Armazenamento e limites desta etapa</w:t>
      </w:r>
    </w:p>
    <w:p>
      <w:pPr>
        <w:pStyle w:val="Corpo"/>
      </w:pPr>
      <w:r>
        <w:t xml:space="preserve">Os pagamentos, assim como os clientes, ficam em memória e são compartilhados entre as telas enquanto o processo do aplicativo existir. O encerramento do processo elimina os registros. Por isso, o atendimento aos requisitos RNF04 (confiabilidade) e RNF03/RN003 (acesso restrito) continua pendente.</w:t>
      </w:r>
    </w:p>
    <w:p>
      <w:pPr>
        <w:pStyle w:val="Corpo"/>
      </w:pPr>
      <w:r>
        <w:t xml:space="preserve">Permanecem fora do escopo: autenticação, edição de dados do cliente (RF03), alteração da situação cadastral (RF07), arquivamento (RF08), exclusão ou estorno de pagamento, definição de vencimento e classificação de inadimplência. Para a demonstração, foram utilizados somente dados fictícios.</w:t>
      </w:r>
    </w:p>
    <w:p>
      <w:pPr>
        <w:pStyle w:val="Heading2"/>
      </w:pPr>
      <w:r>
        <w:t xml:space="preserve">9.5 Organização do código</w:t>
      </w:r>
    </w:p>
    <w:p>
      <w:pPr>
        <w:pStyle w:val="Corpo"/>
      </w:pPr>
      <w:r>
        <w:t xml:space="preserve">As telas foram implementadas como atividades Android (ANDROID DEVELOPERS, [2026?]b), com interfaces declaradas em XML (ANDROID DEVELOPERS, [2026?]c). As regras de negócio ficam em classes Java sem dependência da interface, o que permite testá-las isoladamente e, na próxima etapa, substituir a implementação em memória por uma implementação com banco de dados sem alterar as telas. O Quadro 4 descreve as classes criadas ou alteradas.</w:t>
      </w:r>
    </w:p>
    <w:p>
      <w:pPr>
        <w:pStyle w:val="Legenda"/>
        <w:keepNext/>
      </w:pPr>
      <w:r>
        <w:t xml:space="preserve">Quadro 4 – Classes criadas ou alteradas na Entrega 7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</w:rPr>
              <w:t xml:space="preserve">Classe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Pagamento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Modelo do pagamento: cliente, competência, valor (em centavos) e data; formata valores em reais.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PagamentoRepository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Contrato de acesso aos pagamentos utilizado pelas telas.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PagamentoRepositoryMemoria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Validação, registro e consulta dos pagamentos em memória.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RelatorioMensal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Separa clientes pagos e pendentes de uma competência e soma o total recebido.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PagamentoActivity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Formulário de registro de pagamento (nova tela).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RelatorioActivity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Relatório de mensalidades da competência atual (nova tela).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DetalhesActivity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Alterada para exibir a situação da mensalidade, o histórico e o acesso ao registro de pagamento.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MainActivity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Alterada para exibir a situação de cada cliente na lista e o acesso ao relatório.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CetApplication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t xml:space="preserve">Alterada para compartilhar o repositório de pagamentos entre as telas.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9.6 Código-fonte</w:t>
      </w:r>
    </w:p>
    <w:p>
      <w:pPr>
        <w:pStyle w:val="Corpo"/>
      </w:pPr>
      <w:r>
        <w:t xml:space="preserve">A codificação completa do projeto está disponível no repositório GitHub (SANTOS, 2026): </w:t>
      </w:r>
      <w:hyperlink w:history="1" r:id="rIdebsjbmhw8jwqhaito3hbv">
        <w:r>
          <w:rPr>
            <w:rStyle w:val="Hyperlink"/>
          </w:rPr>
          <w:t xml:space="preserve">https://github.com/lucaschaibub/cet-manager</w:t>
        </w:r>
      </w:hyperlink>
      <w:r>
        <w:t xml:space="preserve">. O repositório também contém o APK de depuração na pasta </w:t>
      </w:r>
      <w:r>
        <w:rPr>
          <w:i/>
          <w:iCs/>
        </w:rPr>
        <w:t xml:space="preserve">apk</w:t>
      </w:r>
      <w:r>
        <w:t xml:space="preserve"> e as capturas de tela na pasta </w:t>
      </w:r>
      <w:r>
        <w:rPr>
          <w:i/>
          <w:iCs/>
        </w:rPr>
        <w:t xml:space="preserve">prints</w:t>
      </w:r>
      <w:r>
        <w:t xml:space="preserve">.</w:t>
      </w:r>
    </w:p>
    <w:p>
      <w:pPr>
        <w:pStyle w:val="Heading1"/>
      </w:pPr>
      <w:r>
        <w:t xml:space="preserve">10 DEMONSTRAÇÃO DAS FUNCIONALIDADES</w:t>
      </w:r>
    </w:p>
    <w:p>
      <w:pPr>
        <w:pStyle w:val="Corpo"/>
      </w:pPr>
      <w:r>
        <w:t xml:space="preserve">Roteiro demonstrado: cadastrar os clientes fictícios Joao Silva e Maria Souza; abrir os detalhes de Joao Silva e verificar a mensalidade pendente; tentar salvar um pagamento sem valor; registrar o pagamento da competência anterior e o da competência atual; conferir a situação paga e o histórico; tentar repetir a competência atual; voltar à lista e abrir o relatório de mensalidades.</w:t>
      </w:r>
    </w:p>
    <w:p>
      <w:pPr>
        <w:pStyle w:val="Corpo"/>
      </w:pPr>
      <w:r>
        <w:t xml:space="preserve">As Figuras 5 a 7 são capturas reais do APK desta entrega, executado em 29 out. 2026 no emulador Android 6.0 (API 23, x86_64) do Android Studio (ANDROID DEVELOPERS, [2026?]d). As capturas foram obtidas com o Android Debug Bridge (ANDROID DEVELOPERS, [2026?]a), durante a execução automatizada do roteiro descrito acima.</w:t>
      </w:r>
    </w:p>
    <w:p>
      <w:pPr>
        <w:pStyle w:val="Legenda"/>
        <w:keepNext/>
      </w:pPr>
      <w:r>
        <w:t xml:space="preserve">Figura 5 – Situação da mensalidade nos detalhes do cliente</w:t>
      </w:r>
    </w:p>
    <w:tbl>
      <w:tblPr>
        <w:tblW w:type="dxa" w:w="907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keepNext/>
              <w:spacing w:line="240"/>
              <w:jc w:val="center"/>
            </w:pPr>
            <w:r>
              <w:drawing>
                <wp:inline distT="0" distB="0" distL="0" distR="0">
                  <wp:extent cx="1876425" cy="3333750"/>
                  <wp:effectExtent t="0" r="0" b="0" l="0"/>
                  <wp:docPr id="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onte"/>
              <w:jc w:val="center"/>
            </w:pPr>
            <w:r>
              <w:t xml:space="preserve">(a) Antes do pagamento: pendente</w:t>
            </w:r>
          </w:p>
        </w:tc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keepNext/>
              <w:spacing w:line="240"/>
              <w:jc w:val="center"/>
            </w:pPr>
            <w:r>
              <w:drawing>
                <wp:inline distT="0" distB="0" distL="0" distR="0">
                  <wp:extent cx="1876425" cy="3333750"/>
                  <wp:effectExtent t="0" r="0" b="0" l="0"/>
                  <wp:docPr id="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onte"/>
              <w:jc w:val="center"/>
            </w:pPr>
            <w:r>
              <w:t xml:space="preserve">(b) Após o pagamento: paga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Legenda"/>
        <w:keepNext/>
      </w:pPr>
      <w:r>
        <w:t xml:space="preserve">Figura 6 – Registro de pagamento e validações</w:t>
      </w:r>
    </w:p>
    <w:tbl>
      <w:tblPr>
        <w:tblW w:type="dxa" w:w="9069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23"/>
        <w:gridCol w:w="3023"/>
        <w:gridCol w:w="3023"/>
      </w:tblGrid>
      <w:tr>
        <w:trPr>
          <w:cantSplit/>
        </w:trPr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keepNext/>
              <w:spacing w:line="240"/>
              <w:jc w:val="center"/>
            </w:pPr>
            <w:r>
              <w:drawing>
                <wp:inline distT="0" distB="0" distL="0" distR="0">
                  <wp:extent cx="1581150" cy="2809875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onte"/>
              <w:jc w:val="center"/>
            </w:pPr>
            <w:r>
              <w:t xml:space="preserve">(a) Formulário preenchido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keepNext/>
              <w:spacing w:line="240"/>
              <w:jc w:val="center"/>
            </w:pPr>
            <w:r>
              <w:drawing>
                <wp:inline distT="0" distB="0" distL="0" distR="0">
                  <wp:extent cx="1581150" cy="2809875"/>
                  <wp:effectExtent t="0" r="0" b="0" l="0"/>
                  <wp:docPr id="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onte"/>
              <w:jc w:val="center"/>
            </w:pPr>
            <w:r>
              <w:t xml:space="preserve">(b) Valor não informado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keepNext/>
              <w:spacing w:line="240"/>
              <w:jc w:val="center"/>
            </w:pPr>
            <w:r>
              <w:drawing>
                <wp:inline distT="0" distB="0" distL="0" distR="0">
                  <wp:extent cx="1581150" cy="2809875"/>
                  <wp:effectExtent t="0" r="0" b="0" l="0"/>
                  <wp:docPr id="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onte"/>
              <w:jc w:val="center"/>
            </w:pPr>
            <w:r>
              <w:t xml:space="preserve">(c) Competência repetida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Legenda"/>
        <w:keepNext/>
      </w:pPr>
      <w:r>
        <w:t xml:space="preserve">Figura 7 – Histórico, lista de clientes e relatório de mensalidades</w:t>
      </w:r>
    </w:p>
    <w:tbl>
      <w:tblPr>
        <w:tblW w:type="dxa" w:w="9069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23"/>
        <w:gridCol w:w="3023"/>
        <w:gridCol w:w="3023"/>
      </w:tblGrid>
      <w:tr>
        <w:trPr>
          <w:cantSplit/>
        </w:trPr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keepNext/>
              <w:spacing w:line="240"/>
              <w:jc w:val="center"/>
            </w:pPr>
            <w:r>
              <w:drawing>
                <wp:inline distT="0" distB="0" distL="0" distR="0">
                  <wp:extent cx="1581150" cy="2809875"/>
                  <wp:effectExtent t="0" r="0" b="0" l="0"/>
                  <wp:docPr id="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onte"/>
              <w:jc w:val="center"/>
            </w:pPr>
            <w:r>
              <w:t xml:space="preserve">(a) Histórico do cliente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keepNext/>
              <w:spacing w:line="240"/>
              <w:jc w:val="center"/>
            </w:pPr>
            <w:r>
              <w:drawing>
                <wp:inline distT="0" distB="0" distL="0" distR="0">
                  <wp:extent cx="1581150" cy="2809875"/>
                  <wp:effectExtent t="0" r="0" b="0" l="0"/>
                  <wp:docPr id="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onte"/>
              <w:jc w:val="center"/>
            </w:pPr>
            <w:r>
              <w:t xml:space="preserve">(b) Lista com situação do mês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keepNext/>
              <w:spacing w:line="240"/>
              <w:jc w:val="center"/>
            </w:pPr>
            <w:r>
              <w:drawing>
                <wp:inline distT="0" distB="0" distL="0" distR="0">
                  <wp:extent cx="1581150" cy="2809875"/>
                  <wp:effectExtent t="0" r="0" b="0" l="0"/>
                  <wp:docPr id="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onte"/>
              <w:jc w:val="center"/>
            </w:pPr>
            <w:r>
              <w:t xml:space="preserve">(c) Relatório de mensalidades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Corpo"/>
      </w:pPr>
      <w:r>
        <w:t xml:space="preserve">Na Figura 7(c), o relatório indica dois clientes cadastrados, uma mensalidade paga, uma pendente e o total recebido de R$ 150,00. Ao tocar em um cliente do relatório, o aplicativo abre os respectivos detalhes.</w:t>
      </w:r>
    </w:p>
    <w:p>
      <w:pPr>
        <w:pStyle w:val="Heading1"/>
      </w:pPr>
      <w:r>
        <w:t xml:space="preserve">11 VERIFICAÇÃO E EXECUÇÃO</w:t>
      </w:r>
    </w:p>
    <w:p>
      <w:pPr>
        <w:pStyle w:val="Corpo"/>
      </w:pPr>
      <w:r>
        <w:t xml:space="preserve">A verificação desta entrega foi realizada da seguinte forma:</w:t>
      </w:r>
    </w:p>
    <w:p>
      <w:pPr>
        <w:pStyle w:val="Corpo"/>
        <w:numPr>
          <w:ilvl w:val="0"/>
          <w:numId w:val="3"/>
        </w:numPr>
        <w:ind w:left="1068" w:hanging="360" w:firstLine="0"/>
      </w:pPr>
      <w:r>
        <w:rPr>
          <w:b/>
          <w:bCs/>
        </w:rPr>
        <w:t xml:space="preserve">testes de unidade:</w:t>
      </w:r>
      <w:r>
        <w:t xml:space="preserve"> oito testes JUnit (JUNIT, [2026?]) executados sem falhas — quatro da Entrega 6, referentes aos clientes, e quatro novos, referentes a registro, validações, competência repetida e relatório de mensalidades;</w:t>
      </w:r>
    </w:p>
    <w:p>
      <w:pPr>
        <w:pStyle w:val="Corpo"/>
        <w:numPr>
          <w:ilvl w:val="0"/>
          <w:numId w:val="3"/>
        </w:numPr>
        <w:ind w:left="1068" w:hanging="360" w:firstLine="0"/>
      </w:pPr>
      <w:r>
        <w:rPr>
          <w:b/>
          <w:bCs/>
        </w:rPr>
        <w:t xml:space="preserve">análise estática:</w:t>
      </w:r>
      <w:r>
        <w:t xml:space="preserve"> o Android Lint foi concluído sem erros; permanecem avisos de textos fixos no código (internacionalização), preenchimento automático, rótulos de acessibilidade, sobreposição de fundo, regras de </w:t>
      </w:r>
      <w:r>
        <w:rPr>
          <w:i/>
          <w:iCs/>
        </w:rPr>
        <w:t xml:space="preserve">backup</w:t>
      </w:r>
      <w:r>
        <w:t xml:space="preserve">, plural e versão-alvo;</w:t>
      </w:r>
    </w:p>
    <w:p>
      <w:pPr>
        <w:pStyle w:val="Corpo"/>
        <w:numPr>
          <w:ilvl w:val="0"/>
          <w:numId w:val="3"/>
        </w:numPr>
        <w:ind w:left="1068" w:hanging="360" w:firstLine="0"/>
      </w:pPr>
      <w:r>
        <w:rPr>
          <w:b/>
          <w:bCs/>
        </w:rPr>
        <w:t xml:space="preserve">interface:</w:t>
      </w:r>
      <w:r>
        <w:t xml:space="preserve"> o roteiro da seção 10 foi executado no emulador, com verificação automática do conteúdo de cada tela, e todas as etapas foram aprovadas.</w:t>
      </w:r>
    </w:p>
    <w:p>
      <w:pPr>
        <w:pStyle w:val="Corpo"/>
      </w:pPr>
      <w:r>
        <w:t xml:space="preserve">Para executar o projeto, deve-se abrir a pasta do repositório no Android Studio, aguardar a sincronização do Gradle, selecionar um dispositivo com Android 6.0 ou superior e executar o módulo </w:t>
      </w:r>
      <w:r>
        <w:rPr>
          <w:i/>
          <w:iCs/>
        </w:rPr>
        <w:t xml:space="preserve">app</w:t>
      </w:r>
      <w:r>
        <w:t xml:space="preserve">. A configuração utiliza Java 17, compileSdk 35, targetSdk 34 e minSdk 23, com Android Gradle Plugin 8.7.3 e Gradle 8.9 (ANDROID DEVELOPERS, 2024). Pelo terminal, o comando </w:t>
      </w:r>
      <w:r>
        <w:rPr>
          <w:i/>
          <w:iCs/>
        </w:rPr>
        <w:t xml:space="preserve">gradlew testDebugUnitTest lintDebug assembleDebug</w:t>
      </w:r>
      <w:r>
        <w:t xml:space="preserve"> executa os testes, a análise e a compilação.</w:t>
      </w:r>
    </w:p>
    <w:p>
      <w:pPr>
        <w:pStyle w:val="Heading1"/>
      </w:pPr>
      <w:r>
        <w:t xml:space="preserve">12 PRÓXIMAS ETAPAS</w:t>
      </w:r>
    </w:p>
    <w:p>
      <w:pPr>
        <w:pStyle w:val="Corpo"/>
      </w:pPr>
      <w:r>
        <w:t xml:space="preserve">Na próxima etapa da disciplina, o armazenamento em memória será substituído por banco de dados, preservando clientes e pagamentos entre execuções. Em seguida, pretende-se definir o vencimento das mensalidades e a regra de inadimplência, completar o RF06 e desenvolver a edição de dados (RF03), a situação cadastral (RF07), o arquivamento (RF08) e o controle de acesso (RNF03 e RN003).</w:t>
      </w:r>
    </w:p>
    <w:p>
      <w:pPr>
        <w:pStyle w:val="TituloSemNumero"/>
        <w:pageBreakBefore/>
      </w:pPr>
      <w:r>
        <w:t xml:space="preserve">REFERÊNCIAS</w:t>
      </w:r>
    </w:p>
    <w:p>
      <w:pPr>
        <w:pStyle w:val="Referencia"/>
      </w:pPr>
      <w:r>
        <w:t xml:space="preserve">ANDROID DEVELOPERS. </w:t>
      </w:r>
      <w:r>
        <w:rPr>
          <w:b/>
          <w:bCs/>
        </w:rPr>
        <w:t xml:space="preserve">Android Debug Bridge (adb)</w:t>
      </w:r>
      <w:r>
        <w:t xml:space="preserve">. [</w:t>
      </w:r>
      <w:r>
        <w:rPr>
          <w:i/>
          <w:iCs/>
        </w:rPr>
        <w:t xml:space="preserve">S. l.</w:t>
      </w:r>
      <w:r>
        <w:t xml:space="preserve">]: Google, [2026?]a. Disponível em: https://developer.android.com/tools/adb. Acesso em: 29 out. 2026.</w:t>
      </w:r>
    </w:p>
    <w:p>
      <w:pPr>
        <w:pStyle w:val="Referencia"/>
      </w:pPr>
      <w:r>
        <w:t xml:space="preserve">ANDROID DEVELOPERS. </w:t>
      </w:r>
      <w:r>
        <w:rPr>
          <w:b/>
          <w:bCs/>
        </w:rPr>
        <w:t xml:space="preserve">Android Gradle Plugin 8.7.0 (October 2024)</w:t>
      </w:r>
      <w:r>
        <w:t xml:space="preserve">. [</w:t>
      </w:r>
      <w:r>
        <w:rPr>
          <w:i/>
          <w:iCs/>
        </w:rPr>
        <w:t xml:space="preserve">S. l.</w:t>
      </w:r>
      <w:r>
        <w:t xml:space="preserve">]: Google, 2024. Disponível em: https://developer.android.com/build/releases/agp-8-7-0-release-notes. Acesso em: 29 out. 2026.</w:t>
      </w:r>
    </w:p>
    <w:p>
      <w:pPr>
        <w:pStyle w:val="Referencia"/>
      </w:pPr>
      <w:r>
        <w:t xml:space="preserve">ANDROID DEVELOPERS. </w:t>
      </w:r>
      <w:r>
        <w:rPr>
          <w:b/>
          <w:bCs/>
        </w:rPr>
        <w:t xml:space="preserve">Introduction to activities</w:t>
      </w:r>
      <w:r>
        <w:t xml:space="preserve">. [</w:t>
      </w:r>
      <w:r>
        <w:rPr>
          <w:i/>
          <w:iCs/>
        </w:rPr>
        <w:t xml:space="preserve">S. l.</w:t>
      </w:r>
      <w:r>
        <w:t xml:space="preserve">]: Google, [2026?]b. Disponível em: https://developer.android.com/guide/components/activities/intro-activities. Acesso em: 29 out. 2026.</w:t>
      </w:r>
    </w:p>
    <w:p>
      <w:pPr>
        <w:pStyle w:val="Referencia"/>
      </w:pPr>
      <w:r>
        <w:t xml:space="preserve">ANDROID DEVELOPERS. </w:t>
      </w:r>
      <w:r>
        <w:rPr>
          <w:b/>
          <w:bCs/>
        </w:rPr>
        <w:t xml:space="preserve">Layouts in views</w:t>
      </w:r>
      <w:r>
        <w:t xml:space="preserve">. [</w:t>
      </w:r>
      <w:r>
        <w:rPr>
          <w:i/>
          <w:iCs/>
        </w:rPr>
        <w:t xml:space="preserve">S. l.</w:t>
      </w:r>
      <w:r>
        <w:t xml:space="preserve">]: Google, [2026?]c. Disponível em: https://developer.android.com/develop/ui/views/layout/declaring-layout. Acesso em: 29 out. 2026.</w:t>
      </w:r>
    </w:p>
    <w:p>
      <w:pPr>
        <w:pStyle w:val="Referencia"/>
      </w:pPr>
      <w:r>
        <w:t xml:space="preserve">ANDROID DEVELOPERS. </w:t>
      </w:r>
      <w:r>
        <w:rPr>
          <w:b/>
          <w:bCs/>
        </w:rPr>
        <w:t xml:space="preserve">Run apps on the Android Emulator</w:t>
      </w:r>
      <w:r>
        <w:t xml:space="preserve">. [</w:t>
      </w:r>
      <w:r>
        <w:rPr>
          <w:i/>
          <w:iCs/>
        </w:rPr>
        <w:t xml:space="preserve">S. l.</w:t>
      </w:r>
      <w:r>
        <w:t xml:space="preserve">]: Google, [2026?]d. Disponível em: https://developer.android.com/studio/run/emulator. Acesso em: 29 out. 2026.</w:t>
      </w:r>
    </w:p>
    <w:p>
      <w:pPr>
        <w:pStyle w:val="Referencia"/>
      </w:pPr>
      <w:r>
        <w:t xml:space="preserve">ASSOCIAÇÃO BRASILEIRA DE NORMAS TÉCNICAS. </w:t>
      </w:r>
      <w:r>
        <w:rPr>
          <w:b/>
          <w:bCs/>
        </w:rPr>
        <w:t xml:space="preserve">NBR 6023</w:t>
      </w:r>
      <w:r>
        <w:t xml:space="preserve">: informação e documentação: referências: elaboração. 2. ed. Rio de Janeiro: ABNT, 2018.</w:t>
      </w:r>
    </w:p>
    <w:p>
      <w:pPr>
        <w:pStyle w:val="Referencia"/>
      </w:pPr>
      <w:r>
        <w:t xml:space="preserve">ASSOCIAÇÃO BRASILEIRA DE NORMAS TÉCNICAS. </w:t>
      </w:r>
      <w:r>
        <w:rPr>
          <w:b/>
          <w:bCs/>
        </w:rPr>
        <w:t xml:space="preserve">NBR 6024</w:t>
      </w:r>
      <w:r>
        <w:t xml:space="preserve">: informação e documentação: numeração progressiva das seções de um documento: apresentação. Rio de Janeiro: ABNT, 2012.</w:t>
      </w:r>
    </w:p>
    <w:p>
      <w:pPr>
        <w:pStyle w:val="Referencia"/>
      </w:pPr>
      <w:r>
        <w:t xml:space="preserve">ASSOCIAÇÃO BRASILEIRA DE NORMAS TÉCNICAS. </w:t>
      </w:r>
      <w:r>
        <w:rPr>
          <w:b/>
          <w:bCs/>
        </w:rPr>
        <w:t xml:space="preserve">NBR 10520</w:t>
      </w:r>
      <w:r>
        <w:t xml:space="preserve">: informação e documentação: citações em documentos: apresentação. Rio de Janeiro: ABNT, 2023.</w:t>
      </w:r>
    </w:p>
    <w:p>
      <w:pPr>
        <w:pStyle w:val="Referencia"/>
      </w:pPr>
      <w:r>
        <w:t xml:space="preserve">ASSOCIAÇÃO BRASILEIRA DE NORMAS TÉCNICAS. </w:t>
      </w:r>
      <w:r>
        <w:rPr>
          <w:b/>
          <w:bCs/>
        </w:rPr>
        <w:t xml:space="preserve">NBR 14724</w:t>
      </w:r>
      <w:r>
        <w:t xml:space="preserve">: informação e documentação: trabalhos acadêmicos: apresentação. 3. ed. Rio de Janeiro: ABNT, 2011.</w:t>
      </w:r>
    </w:p>
    <w:p>
      <w:pPr>
        <w:pStyle w:val="Referencia"/>
      </w:pPr>
      <w:r>
        <w:t xml:space="preserve">JUNIT. </w:t>
      </w:r>
      <w:r>
        <w:rPr>
          <w:b/>
          <w:bCs/>
        </w:rPr>
        <w:t xml:space="preserve">JUnit 4</w:t>
      </w:r>
      <w:r>
        <w:t xml:space="preserve">: about. [</w:t>
      </w:r>
      <w:r>
        <w:rPr>
          <w:i/>
          <w:iCs/>
        </w:rPr>
        <w:t xml:space="preserve">S. l.</w:t>
      </w:r>
      <w:r>
        <w:t xml:space="preserve">], [2026?]. Disponível em: https://junit.org/junit4/. Acesso em: 29 out. 2026.</w:t>
      </w:r>
    </w:p>
    <w:p>
      <w:pPr>
        <w:pStyle w:val="Referencia"/>
      </w:pPr>
      <w:r>
        <w:t xml:space="preserve">SANTOS, Lucas Chaibub Amaral de Lemos. </w:t>
      </w:r>
      <w:r>
        <w:rPr>
          <w:b/>
          <w:bCs/>
        </w:rPr>
        <w:t xml:space="preserve">CET Manager</w:t>
      </w:r>
      <w:r>
        <w:t xml:space="preserve">: código-fonte do aplicativo </w:t>
      </w:r>
      <w:r>
        <w:rPr>
          <w:i/>
          <w:iCs/>
        </w:rPr>
        <w:t xml:space="preserve">mobile</w:t>
      </w:r>
      <w:r>
        <w:t xml:space="preserve">. [</w:t>
      </w:r>
      <w:r>
        <w:rPr>
          <w:i/>
          <w:iCs/>
        </w:rPr>
        <w:t xml:space="preserve">S. l.</w:t>
      </w:r>
      <w:r>
        <w:t xml:space="preserve">]: GitHub, 2026. Disponível em: https://github.com/lucaschaibub/cet-manager. Acesso em: 29 out. 2026.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701" w:right="1134" w:bottom="1134" w:left="1701" w:header="624" w:footer="454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0000" w:sz="40" w:space="2"/>
      </w:pBdr>
      <w:tabs>
        <w:tab w:val="right" w:pos="8771"/>
      </w:tabs>
      <w:ind w:left="300"/>
    </w:pPr>
    <w:r>
      <w:rPr>
        <w:sz w:val="20"/>
        <w:szCs w:val="20"/>
      </w:rPr>
      <w:t xml:space="preserve">Documentação da Aplicação Mobile</w:t>
    </w:r>
    <w:r>
      <w:rPr>
        <w:b/>
        <w:bCs/>
        <w:sz w:val="20"/>
        <w:szCs w:val="20"/>
      </w:rPr>
      <w:t xml:space="preserve">	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514475" cy="457200"/>
          <wp:effectExtent t="0" r="0" b="0" l="0"/>
          <wp:docPr id="18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514475" cy="457200"/>
          <wp:effectExtent t="0" r="0" b="0" l="0"/>
          <wp:docPr id="19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Letter"/>
      <w:lvlText w:val="%1)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Corpo"/>
    <w:qFormat/>
    <w:pPr>
      <w:keepNext/>
      <w:keepLines/>
      <w:spacing w:after="240" w:before="360" w:line="36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Corpo"/>
    <w:qFormat/>
    <w:pPr>
      <w:keepNext/>
      <w:keepLines/>
      <w:spacing w:after="120" w:before="240" w:line="3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Corpo"/>
    <w:qFormat/>
    <w:pPr>
      <w:keepNext/>
      <w:keepLines/>
      <w:spacing w:after="0" w:before="120" w:line="360"/>
      <w:outlineLvl w:val="2"/>
    </w:pPr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type="paragraph" w:styleId="Corpo">
    <w:name w:val="Corpo de texto ABNT"/>
    <w:basedOn w:val="Normal"/>
    <w:qFormat/>
    <w:pPr>
      <w:spacing w:after="0" w:line="360"/>
      <w:ind w:firstLine="709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TituloSemNumero">
    <w:name w:val="Título sem indicativo"/>
    <w:basedOn w:val="Normal"/>
    <w:pPr>
      <w:spacing w:after="360" w:before="0" w:line="360"/>
      <w:jc w:val="center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Sumario">
    <w:name w:val="Sumário"/>
    <w:basedOn w:val="Normal"/>
    <w:pPr>
      <w:spacing w:line="360"/>
    </w:pPr>
    <w:rPr>
      <w:rFonts w:ascii="Times New Roman" w:cs="Times New Roman" w:eastAsia="Times New Roman" w:hAnsi="Times New Roman"/>
      <w:sz w:val="24"/>
      <w:szCs w:val="24"/>
    </w:rPr>
  </w:style>
  <w:style w:type="paragraph" w:styleId="Legenda">
    <w:name w:val="Legenda ABNT"/>
    <w:basedOn w:val="Normal"/>
    <w:pPr>
      <w:keepNext/>
      <w:spacing w:after="60" w:before="240" w:line="240"/>
      <w:jc w:val="center"/>
    </w:pPr>
    <w:rPr>
      <w:rFonts w:ascii="Times New Roman" w:cs="Times New Roman" w:eastAsia="Times New Roman" w:hAnsi="Times New Roman"/>
      <w:sz w:val="20"/>
      <w:szCs w:val="20"/>
    </w:rPr>
  </w:style>
  <w:style w:type="paragraph" w:styleId="Fonte">
    <w:name w:val="Fonte ABNT"/>
    <w:basedOn w:val="Normal"/>
    <w:pPr>
      <w:spacing w:after="240" w:before="60" w:line="240"/>
      <w:jc w:val="center"/>
    </w:pPr>
    <w:rPr>
      <w:rFonts w:ascii="Times New Roman" w:cs="Times New Roman" w:eastAsia="Times New Roman" w:hAnsi="Times New Roman"/>
      <w:sz w:val="20"/>
      <w:szCs w:val="20"/>
    </w:rPr>
  </w:style>
  <w:style w:type="paragraph" w:styleId="Tabela">
    <w:name w:val="Texto de quadro"/>
    <w:basedOn w:val="Normal"/>
    <w:pPr>
      <w:spacing w:line="240"/>
    </w:pPr>
    <w:rPr>
      <w:rFonts w:ascii="Times New Roman" w:cs="Times New Roman" w:eastAsia="Times New Roman" w:hAnsi="Times New Roman"/>
      <w:sz w:val="20"/>
      <w:szCs w:val="20"/>
    </w:rPr>
  </w:style>
  <w:style w:type="paragraph" w:styleId="Referencia">
    <w:name w:val="Referência ABNT"/>
    <w:basedOn w:val="Normal"/>
    <w:pPr>
      <w:spacing w:after="240" w:line="240"/>
      <w:jc w:val="left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ebsjbmhw8jwqhaito3hbv" Type="http://schemas.openxmlformats.org/officeDocument/2006/relationships/hyperlink" Target="https://github.com/lucaschaibub/cet-manager" TargetMode="External"/><Relationship Id="rId12" Type="http://schemas.openxmlformats.org/officeDocument/2006/relationships/image" Target="media/f30b6c14b5cb9e664e8e7903e42a75c79c214174.png"/><Relationship Id="rId13" Type="http://schemas.openxmlformats.org/officeDocument/2006/relationships/image" Target="media/df8236bc934011020440bae1de34fb3e8ac21546.png"/><Relationship Id="rId14" Type="http://schemas.openxmlformats.org/officeDocument/2006/relationships/image" Target="media/19115c7f4d08f847688c97b9a3c009f193a34a72.png"/><Relationship Id="rId15" Type="http://schemas.openxmlformats.org/officeDocument/2006/relationships/image" Target="media/42de8b0b615b3dd86928b578b86bc1c2c4ffdeb7.png"/><Relationship Id="rId16" Type="http://schemas.openxmlformats.org/officeDocument/2006/relationships/image" Target="media/a3a315aa9d3b46a074e8f14f1b6ae46b8fcc25bc.png"/><Relationship Id="rId17" Type="http://schemas.openxmlformats.org/officeDocument/2006/relationships/image" Target="media/906ed7af1dd93e46ff191865e043de5b9dbba5dd.png"/><Relationship Id="rId18" Type="http://schemas.openxmlformats.org/officeDocument/2006/relationships/image" Target="media/f1346c90fee4121b975b1b2a170167e6880bee21.png"/><Relationship Id="rId19" Type="http://schemas.openxmlformats.org/officeDocument/2006/relationships/image" Target="media/f5e6a343cdd6913c37a4af9b08328e326f7a0b95.png"/><Relationship Id="rId20" Type="http://schemas.openxmlformats.org/officeDocument/2006/relationships/image" Target="media/fee5304d4fdd009e93cfe60ccdf326dc214663e1.png"/><Relationship Id="rId21" Type="http://schemas.openxmlformats.org/officeDocument/2006/relationships/image" Target="media/2e0076cec2a8f8cd9312ae4651a77fca30355cb4.png"/><Relationship Id="rId22" Type="http://schemas.openxmlformats.org/officeDocument/2006/relationships/image" Target="media/5a0dde5c3c3351248ea578d9aecf3d3995586eae.png"/><Relationship Id="rId23" Type="http://schemas.openxmlformats.org/officeDocument/2006/relationships/image" Target="media/a003dc6e4e4ff3d254bb6ccfbf0f54edceeae9e5.png"/><Relationship Id="rId24" Type="http://schemas.openxmlformats.org/officeDocument/2006/relationships/image" Target="media/1ed8e7820f3fcb2ea9a24b0fd95bfffa1ebf2c0e.png"/><Relationship Id="rId25" Type="http://schemas.openxmlformats.org/officeDocument/2006/relationships/image" Target="media/427f22fc04708e3400f837ee0f607634f550fc91.png"/><Relationship Id="rId26" Type="http://schemas.openxmlformats.org/officeDocument/2006/relationships/image" Target="media/6b39723835126dab07097b62235dcb563dc6f730.png"/><Relationship Id="rId27" Type="http://schemas.openxmlformats.org/officeDocument/2006/relationships/image" Target="media/02e8811bc0d4d026622cac9abcd7a847562bcc51.png"/><Relationship Id="rId28" Type="http://schemas.openxmlformats.org/officeDocument/2006/relationships/image" Target="media/4e71313aa8ad7fd3bb0a46ecd504481a4fdfaa5e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53b3e623f601537d8c5e91a0ebe52c513c3e4f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53b3e623f601537d8c5e91a0ebe52c513c3e4f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CET Manager – Documentação da Aplicação Mobile – Entrega 7</dc:title>
  <dc:creator>Lucas Chaibub Amaral de Lemos Santos</dc:creator>
  <cp:lastModifiedBy>Un-named</cp:lastModifiedBy>
  <cp:revision>1</cp:revision>
  <dcterms:created xsi:type="dcterms:W3CDTF">2026-10-30T00:58:36.804Z</dcterms:created>
  <dcterms:modified xsi:type="dcterms:W3CDTF">2026-10-30T00:58:36.805Z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