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tl w:val="0"/>
        </w:rPr>
        <w:t xml:space="preserve">Ejercicio 6. Trabajo con Bases de Datos Biológicas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a) A partir del gen o proteína de interés para ustedes dar su link a NCBI-Gene como una entrada de Entrez. Expliquen brevemente lo que hace la proteína y por qué la eligieron.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El gen elegido forma parte del complejo mayor de histocompatibilidad o CMH, una familia de</w:t>
      </w:r>
    </w:p>
    <w:p w:rsidR="00000000" w:rsidDel="00000000" w:rsidP="00000000" w:rsidRDefault="00000000" w:rsidRPr="00000000" w14:paraId="00000006">
      <w:pPr>
        <w:rPr/>
      </w:pPr>
      <w:r w:rsidDel="00000000" w:rsidR="00000000" w:rsidRPr="00000000">
        <w:rPr>
          <w:rtl w:val="0"/>
        </w:rPr>
        <w:t xml:space="preserve">genes hallados en todos los vertebrados y ubicados en el brazo corto del cromosoma 6 en</w:t>
      </w:r>
    </w:p>
    <w:p w:rsidR="00000000" w:rsidDel="00000000" w:rsidP="00000000" w:rsidRDefault="00000000" w:rsidRPr="00000000" w14:paraId="00000007">
      <w:pPr>
        <w:rPr/>
      </w:pPr>
      <w:r w:rsidDel="00000000" w:rsidR="00000000" w:rsidRPr="00000000">
        <w:rPr>
          <w:rtl w:val="0"/>
        </w:rPr>
        <w:t xml:space="preserve">humanos, cuya función es la codificación de moléculas (glucoproteínas) denominadas</w:t>
      </w:r>
    </w:p>
    <w:p w:rsidR="00000000" w:rsidDel="00000000" w:rsidP="00000000" w:rsidRDefault="00000000" w:rsidRPr="00000000" w14:paraId="00000008">
      <w:pPr>
        <w:rPr/>
      </w:pPr>
      <w:r w:rsidDel="00000000" w:rsidR="00000000" w:rsidRPr="00000000">
        <w:rPr>
          <w:rtl w:val="0"/>
        </w:rPr>
        <w:t xml:space="preserve">antígenos leucocitarios humanos o antígenos de histocompatibilidad, que participan en la</w:t>
      </w:r>
    </w:p>
    <w:p w:rsidR="00000000" w:rsidDel="00000000" w:rsidP="00000000" w:rsidRDefault="00000000" w:rsidRPr="00000000" w14:paraId="00000009">
      <w:pPr>
        <w:rPr/>
      </w:pPr>
      <w:r w:rsidDel="00000000" w:rsidR="00000000" w:rsidRPr="00000000">
        <w:rPr>
          <w:rtl w:val="0"/>
        </w:rPr>
        <w:t xml:space="preserve">presentación de antígenos a los linfocitos T permitiendo la activación de procesos críticos</w:t>
      </w:r>
    </w:p>
    <w:p w:rsidR="00000000" w:rsidDel="00000000" w:rsidP="00000000" w:rsidRDefault="00000000" w:rsidRPr="00000000" w14:paraId="0000000A">
      <w:pPr>
        <w:rPr/>
      </w:pPr>
      <w:r w:rsidDel="00000000" w:rsidR="00000000" w:rsidRPr="00000000">
        <w:rPr>
          <w:rtl w:val="0"/>
        </w:rPr>
        <w:t xml:space="preserve">en la generación de la respuesta inmunitaria. En general, el CMH permite distinguir lo propio</w:t>
      </w:r>
    </w:p>
    <w:p w:rsidR="00000000" w:rsidDel="00000000" w:rsidP="00000000" w:rsidRDefault="00000000" w:rsidRPr="00000000" w14:paraId="0000000B">
      <w:pPr>
        <w:rPr/>
      </w:pPr>
      <w:r w:rsidDel="00000000" w:rsidR="00000000" w:rsidRPr="00000000">
        <w:rPr>
          <w:rtl w:val="0"/>
        </w:rPr>
        <w:t xml:space="preserve">de lo extraño. En humanos, el CMH se denominó primeramente «complejo HLA» (del</w:t>
      </w:r>
    </w:p>
    <w:p w:rsidR="00000000" w:rsidDel="00000000" w:rsidP="00000000" w:rsidRDefault="00000000" w:rsidRPr="00000000" w14:paraId="0000000C">
      <w:pPr>
        <w:rPr/>
      </w:pPr>
      <w:r w:rsidDel="00000000" w:rsidR="00000000" w:rsidRPr="00000000">
        <w:rPr>
          <w:rtl w:val="0"/>
        </w:rPr>
        <w:t xml:space="preserve">acrónimo inglés para human leucocytic antigen), porque las moléculas del CMH se</w:t>
      </w:r>
    </w:p>
    <w:p w:rsidR="00000000" w:rsidDel="00000000" w:rsidP="00000000" w:rsidRDefault="00000000" w:rsidRPr="00000000" w14:paraId="0000000D">
      <w:pPr>
        <w:rPr/>
      </w:pPr>
      <w:r w:rsidDel="00000000" w:rsidR="00000000" w:rsidRPr="00000000">
        <w:rPr>
          <w:rtl w:val="0"/>
        </w:rPr>
        <w:t xml:space="preserve">descubrieron como antígenos que diferencian los leucocitos de distintas personas y que</w:t>
      </w:r>
    </w:p>
    <w:p w:rsidR="00000000" w:rsidDel="00000000" w:rsidP="00000000" w:rsidRDefault="00000000" w:rsidRPr="00000000" w14:paraId="0000000E">
      <w:pPr>
        <w:rPr/>
      </w:pPr>
      <w:r w:rsidDel="00000000" w:rsidR="00000000" w:rsidRPr="00000000">
        <w:rPr>
          <w:rtl w:val="0"/>
        </w:rPr>
        <w:t xml:space="preserve">producen la respuesta inmunitaria del receptor en trasplantes, </w:t>
      </w:r>
      <w:r w:rsidDel="00000000" w:rsidR="00000000" w:rsidRPr="00000000">
        <w:rPr>
          <w:rtl w:val="0"/>
        </w:rPr>
        <w:t xml:space="preserve">produciendo el rechazo</w:t>
      </w:r>
      <w:r w:rsidDel="00000000" w:rsidR="00000000" w:rsidRPr="00000000">
        <w:rPr>
          <w:rtl w:val="0"/>
        </w:rPr>
        <w:t xml:space="preserv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hyperlink r:id="rId6">
        <w:r w:rsidDel="00000000" w:rsidR="00000000" w:rsidRPr="00000000">
          <w:rPr>
            <w:color w:val="1155cc"/>
            <w:u w:val="single"/>
            <w:rtl w:val="0"/>
          </w:rPr>
          <w:t xml:space="preserve">https://www.ncbi.nlm.nih.gov/nuccore/NM_002122.5</w:t>
        </w:r>
      </w:hyperlink>
      <w:r w:rsidDel="00000000" w:rsidR="00000000" w:rsidRPr="00000000">
        <w:rPr>
          <w:rtl w:val="0"/>
        </w:rPr>
      </w:r>
    </w:p>
    <w:p w:rsidR="00000000" w:rsidDel="00000000" w:rsidP="00000000" w:rsidRDefault="00000000" w:rsidRPr="00000000" w14:paraId="00000011">
      <w:pPr>
        <w:rPr/>
      </w:pPr>
      <w:hyperlink r:id="rId7">
        <w:r w:rsidDel="00000000" w:rsidR="00000000" w:rsidRPr="00000000">
          <w:rPr>
            <w:color w:val="1155cc"/>
            <w:u w:val="single"/>
            <w:rtl w:val="0"/>
          </w:rPr>
          <w:t xml:space="preserve">https://www.omim.org/entry/212750</w:t>
        </w:r>
      </w:hyperlink>
      <w:r w:rsidDel="00000000" w:rsidR="00000000" w:rsidRPr="00000000">
        <w:rPr>
          <w:rtl w:val="0"/>
        </w:rPr>
      </w:r>
    </w:p>
    <w:p w:rsidR="00000000" w:rsidDel="00000000" w:rsidP="00000000" w:rsidRDefault="00000000" w:rsidRPr="00000000" w14:paraId="00000012">
      <w:pPr>
        <w:rPr/>
      </w:pPr>
      <w:hyperlink r:id="rId8">
        <w:r w:rsidDel="00000000" w:rsidR="00000000" w:rsidRPr="00000000">
          <w:rPr>
            <w:color w:val="1155cc"/>
            <w:u w:val="single"/>
            <w:rtl w:val="0"/>
          </w:rPr>
          <w:t xml:space="preserve">https://pubmed.ncbi.nlm.nih.gov/26303674/</w:t>
        </w:r>
      </w:hyperlink>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b) ¿Cuántos genes / proteínas homólogas se conocen en otros organismos?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En la base de datos Gene del NCBI se pueden encontrar 10 genes ortólogos, todos dentro del magnorden Boreoeutheria (Mamíferos Placentarios). Las especies listadas son:</w:t>
      </w:r>
    </w:p>
    <w:p w:rsidR="00000000" w:rsidDel="00000000" w:rsidP="00000000" w:rsidRDefault="00000000" w:rsidRPr="00000000" w14:paraId="00000018">
      <w:pPr>
        <w:ind w:left="0" w:firstLine="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019">
      <w:pPr>
        <w:numPr>
          <w:ilvl w:val="0"/>
          <w:numId w:val="1"/>
        </w:numPr>
        <w:ind w:left="720" w:hanging="360"/>
        <w:rPr>
          <w:rFonts w:ascii="Roboto" w:cs="Roboto" w:eastAsia="Roboto" w:hAnsi="Roboto"/>
          <w:color w:val="212121"/>
          <w:sz w:val="21"/>
          <w:szCs w:val="21"/>
          <w:highlight w:val="white"/>
          <w:u w:val="none"/>
        </w:rPr>
      </w:pPr>
      <w:r w:rsidDel="00000000" w:rsidR="00000000" w:rsidRPr="00000000">
        <w:rPr>
          <w:rtl w:val="0"/>
        </w:rPr>
        <w:t xml:space="preserve">Boreoeutheria</w:t>
      </w:r>
    </w:p>
    <w:p w:rsidR="00000000" w:rsidDel="00000000" w:rsidP="00000000" w:rsidRDefault="00000000" w:rsidRPr="00000000" w14:paraId="0000001A">
      <w:pPr>
        <w:numPr>
          <w:ilvl w:val="0"/>
          <w:numId w:val="4"/>
        </w:numPr>
        <w:shd w:fill="ffffff" w:val="clear"/>
        <w:spacing w:line="360" w:lineRule="auto"/>
        <w:ind w:left="1440" w:hanging="360"/>
      </w:pPr>
      <w:r w:rsidDel="00000000" w:rsidR="00000000" w:rsidRPr="00000000">
        <w:rPr>
          <w:rtl w:val="0"/>
        </w:rPr>
        <w:t xml:space="preserve">Roedores</w:t>
      </w:r>
    </w:p>
    <w:p w:rsidR="00000000" w:rsidDel="00000000" w:rsidP="00000000" w:rsidRDefault="00000000" w:rsidRPr="00000000" w14:paraId="0000001B">
      <w:pPr>
        <w:numPr>
          <w:ilvl w:val="1"/>
          <w:numId w:val="4"/>
        </w:numPr>
        <w:shd w:fill="ffffff" w:val="clear"/>
        <w:spacing w:line="360" w:lineRule="auto"/>
        <w:ind w:left="2160" w:hanging="360"/>
      </w:pPr>
      <w:r w:rsidDel="00000000" w:rsidR="00000000" w:rsidRPr="00000000">
        <w:rPr>
          <w:rtl w:val="0"/>
        </w:rPr>
        <w:t xml:space="preserve">Mus musculus</w:t>
      </w:r>
    </w:p>
    <w:p w:rsidR="00000000" w:rsidDel="00000000" w:rsidP="00000000" w:rsidRDefault="00000000" w:rsidRPr="00000000" w14:paraId="0000001C">
      <w:pPr>
        <w:numPr>
          <w:ilvl w:val="0"/>
          <w:numId w:val="4"/>
        </w:numPr>
        <w:shd w:fill="ffffff" w:val="clear"/>
        <w:spacing w:line="360" w:lineRule="auto"/>
        <w:ind w:left="1440" w:hanging="360"/>
      </w:pPr>
      <w:r w:rsidDel="00000000" w:rsidR="00000000" w:rsidRPr="00000000">
        <w:rPr>
          <w:rtl w:val="0"/>
        </w:rPr>
        <w:t xml:space="preserve">Murciélagos</w:t>
      </w:r>
    </w:p>
    <w:p w:rsidR="00000000" w:rsidDel="00000000" w:rsidP="00000000" w:rsidRDefault="00000000" w:rsidRPr="00000000" w14:paraId="0000001D">
      <w:pPr>
        <w:numPr>
          <w:ilvl w:val="1"/>
          <w:numId w:val="4"/>
        </w:numPr>
        <w:spacing w:line="360" w:lineRule="auto"/>
        <w:ind w:left="2160" w:hanging="360"/>
      </w:pPr>
      <w:r w:rsidDel="00000000" w:rsidR="00000000" w:rsidRPr="00000000">
        <w:rPr>
          <w:rtl w:val="0"/>
        </w:rPr>
        <w:t xml:space="preserve">Pipistrellus kuhlii</w:t>
      </w:r>
    </w:p>
    <w:p w:rsidR="00000000" w:rsidDel="00000000" w:rsidP="00000000" w:rsidRDefault="00000000" w:rsidRPr="00000000" w14:paraId="0000001E">
      <w:pPr>
        <w:numPr>
          <w:ilvl w:val="0"/>
          <w:numId w:val="4"/>
        </w:numPr>
        <w:shd w:fill="ffffff" w:val="clear"/>
        <w:spacing w:line="360" w:lineRule="auto"/>
        <w:ind w:left="1440" w:hanging="360"/>
      </w:pPr>
      <w:r w:rsidDel="00000000" w:rsidR="00000000" w:rsidRPr="00000000">
        <w:rPr>
          <w:rtl w:val="0"/>
        </w:rPr>
        <w:t xml:space="preserve">Primates</w:t>
      </w:r>
    </w:p>
    <w:p w:rsidR="00000000" w:rsidDel="00000000" w:rsidP="00000000" w:rsidRDefault="00000000" w:rsidRPr="00000000" w14:paraId="0000001F">
      <w:pPr>
        <w:numPr>
          <w:ilvl w:val="1"/>
          <w:numId w:val="4"/>
        </w:numPr>
        <w:shd w:fill="ffffff" w:val="clear"/>
        <w:spacing w:line="360" w:lineRule="auto"/>
        <w:ind w:left="2160" w:hanging="360"/>
      </w:pPr>
      <w:r w:rsidDel="00000000" w:rsidR="00000000" w:rsidRPr="00000000">
        <w:rPr>
          <w:rtl w:val="0"/>
        </w:rPr>
        <w:t xml:space="preserve">Colobus angolensis palliatus</w:t>
      </w:r>
    </w:p>
    <w:p w:rsidR="00000000" w:rsidDel="00000000" w:rsidP="00000000" w:rsidRDefault="00000000" w:rsidRPr="00000000" w14:paraId="00000020">
      <w:pPr>
        <w:numPr>
          <w:ilvl w:val="1"/>
          <w:numId w:val="4"/>
        </w:numPr>
        <w:spacing w:line="360" w:lineRule="auto"/>
        <w:ind w:left="2160" w:hanging="360"/>
      </w:pPr>
      <w:r w:rsidDel="00000000" w:rsidR="00000000" w:rsidRPr="00000000">
        <w:rPr>
          <w:rtl w:val="0"/>
        </w:rPr>
        <w:t xml:space="preserve">Chlorocebus sabaeus</w:t>
      </w:r>
    </w:p>
    <w:p w:rsidR="00000000" w:rsidDel="00000000" w:rsidP="00000000" w:rsidRDefault="00000000" w:rsidRPr="00000000" w14:paraId="00000021">
      <w:pPr>
        <w:numPr>
          <w:ilvl w:val="1"/>
          <w:numId w:val="4"/>
        </w:numPr>
        <w:spacing w:line="360" w:lineRule="auto"/>
        <w:ind w:left="2160" w:hanging="360"/>
      </w:pPr>
      <w:r w:rsidDel="00000000" w:rsidR="00000000" w:rsidRPr="00000000">
        <w:rPr>
          <w:rtl w:val="0"/>
        </w:rPr>
        <w:t xml:space="preserve">Macaca nemestrina</w:t>
      </w:r>
    </w:p>
    <w:p w:rsidR="00000000" w:rsidDel="00000000" w:rsidP="00000000" w:rsidRDefault="00000000" w:rsidRPr="00000000" w14:paraId="00000022">
      <w:pPr>
        <w:numPr>
          <w:ilvl w:val="1"/>
          <w:numId w:val="4"/>
        </w:numPr>
        <w:spacing w:line="360" w:lineRule="auto"/>
        <w:ind w:left="2160" w:hanging="360"/>
      </w:pPr>
      <w:r w:rsidDel="00000000" w:rsidR="00000000" w:rsidRPr="00000000">
        <w:rPr>
          <w:rtl w:val="0"/>
        </w:rPr>
        <w:t xml:space="preserve">Theropithecus gelada</w:t>
      </w:r>
    </w:p>
    <w:p w:rsidR="00000000" w:rsidDel="00000000" w:rsidP="00000000" w:rsidRDefault="00000000" w:rsidRPr="00000000" w14:paraId="00000023">
      <w:pPr>
        <w:numPr>
          <w:ilvl w:val="1"/>
          <w:numId w:val="4"/>
        </w:numPr>
        <w:spacing w:line="360" w:lineRule="auto"/>
        <w:ind w:left="2160" w:hanging="360"/>
      </w:pPr>
      <w:r w:rsidDel="00000000" w:rsidR="00000000" w:rsidRPr="00000000">
        <w:rPr>
          <w:rtl w:val="0"/>
        </w:rPr>
        <w:t xml:space="preserve">Trachypithecus francoisi</w:t>
      </w:r>
    </w:p>
    <w:p w:rsidR="00000000" w:rsidDel="00000000" w:rsidP="00000000" w:rsidRDefault="00000000" w:rsidRPr="00000000" w14:paraId="00000024">
      <w:pPr>
        <w:numPr>
          <w:ilvl w:val="1"/>
          <w:numId w:val="4"/>
        </w:numPr>
        <w:spacing w:line="360" w:lineRule="auto"/>
        <w:ind w:left="2160" w:hanging="360"/>
      </w:pPr>
      <w:r w:rsidDel="00000000" w:rsidR="00000000" w:rsidRPr="00000000">
        <w:rPr>
          <w:rtl w:val="0"/>
        </w:rPr>
        <w:t xml:space="preserve">Rhinopithecus roxellana</w:t>
      </w:r>
    </w:p>
    <w:p w:rsidR="00000000" w:rsidDel="00000000" w:rsidP="00000000" w:rsidRDefault="00000000" w:rsidRPr="00000000" w14:paraId="00000025">
      <w:pPr>
        <w:numPr>
          <w:ilvl w:val="1"/>
          <w:numId w:val="4"/>
        </w:numPr>
        <w:spacing w:line="360" w:lineRule="auto"/>
        <w:ind w:left="2160" w:hanging="360"/>
      </w:pPr>
      <w:r w:rsidDel="00000000" w:rsidR="00000000" w:rsidRPr="00000000">
        <w:rPr>
          <w:rtl w:val="0"/>
        </w:rPr>
        <w:t xml:space="preserve">Homo sapiens</w:t>
      </w:r>
    </w:p>
    <w:p w:rsidR="00000000" w:rsidDel="00000000" w:rsidP="00000000" w:rsidRDefault="00000000" w:rsidRPr="00000000" w14:paraId="00000026">
      <w:pPr>
        <w:numPr>
          <w:ilvl w:val="1"/>
          <w:numId w:val="4"/>
        </w:numPr>
        <w:spacing w:line="360" w:lineRule="auto"/>
        <w:ind w:left="2160" w:hanging="360"/>
        <w:rPr/>
      </w:pPr>
      <w:r w:rsidDel="00000000" w:rsidR="00000000" w:rsidRPr="00000000">
        <w:rPr>
          <w:rtl w:val="0"/>
        </w:rPr>
        <w:t xml:space="preserve">Saimiri boliviensis</w:t>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Fuente:</w:t>
        <w:br w:type="textWrapping"/>
      </w:r>
      <w:hyperlink r:id="rId9">
        <w:r w:rsidDel="00000000" w:rsidR="00000000" w:rsidRPr="00000000">
          <w:rPr>
            <w:color w:val="1155cc"/>
            <w:u w:val="single"/>
            <w:rtl w:val="0"/>
          </w:rPr>
          <w:t xml:space="preserve">https://www.ncbi.nlm.nih.gov/gene/3117/ortholog/?scope=1437010</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En cuanto a la base de datos Ensembl, vemos que existen 11 genes ortólogos 1:1, es decir que solo una copia del gen se encuentra en cada especie. Estas especies son:</w:t>
      </w:r>
    </w:p>
    <w:p w:rsidR="00000000" w:rsidDel="00000000" w:rsidP="00000000" w:rsidRDefault="00000000" w:rsidRPr="00000000" w14:paraId="0000002D">
      <w:pPr>
        <w:numPr>
          <w:ilvl w:val="0"/>
          <w:numId w:val="2"/>
        </w:numPr>
        <w:ind w:left="720" w:hanging="360"/>
      </w:pPr>
      <w:r w:rsidDel="00000000" w:rsidR="00000000" w:rsidRPr="00000000">
        <w:rPr>
          <w:rtl w:val="0"/>
        </w:rPr>
        <w:t xml:space="preserve">Black snub-nosed monkey (Rhinopithecus bieti)</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Bonobo (Pan paniscus)</w:t>
      </w:r>
    </w:p>
    <w:p w:rsidR="00000000" w:rsidDel="00000000" w:rsidP="00000000" w:rsidRDefault="00000000" w:rsidRPr="00000000" w14:paraId="0000002F">
      <w:pPr>
        <w:numPr>
          <w:ilvl w:val="0"/>
          <w:numId w:val="2"/>
        </w:numPr>
        <w:ind w:left="720" w:hanging="360"/>
      </w:pPr>
      <w:r w:rsidDel="00000000" w:rsidR="00000000" w:rsidRPr="00000000">
        <w:rPr>
          <w:rtl w:val="0"/>
        </w:rPr>
        <w:t xml:space="preserve">Chimpanzee (Pan troglodytes)</w:t>
      </w:r>
    </w:p>
    <w:p w:rsidR="00000000" w:rsidDel="00000000" w:rsidP="00000000" w:rsidRDefault="00000000" w:rsidRPr="00000000" w14:paraId="00000030">
      <w:pPr>
        <w:numPr>
          <w:ilvl w:val="0"/>
          <w:numId w:val="2"/>
        </w:numPr>
        <w:ind w:left="720" w:hanging="360"/>
      </w:pPr>
      <w:r w:rsidDel="00000000" w:rsidR="00000000" w:rsidRPr="00000000">
        <w:rPr>
          <w:rtl w:val="0"/>
        </w:rPr>
        <w:t xml:space="preserve">Crab-eating macaque (Macaca fascicularis)</w:t>
      </w:r>
    </w:p>
    <w:p w:rsidR="00000000" w:rsidDel="00000000" w:rsidP="00000000" w:rsidRDefault="00000000" w:rsidRPr="00000000" w14:paraId="00000031">
      <w:pPr>
        <w:numPr>
          <w:ilvl w:val="0"/>
          <w:numId w:val="2"/>
        </w:numPr>
        <w:ind w:left="720" w:hanging="360"/>
      </w:pPr>
      <w:r w:rsidDel="00000000" w:rsidR="00000000" w:rsidRPr="00000000">
        <w:rPr>
          <w:rtl w:val="0"/>
        </w:rPr>
        <w:t xml:space="preserve">Gibbon (Nomascus leucogenys)</w:t>
      </w:r>
    </w:p>
    <w:p w:rsidR="00000000" w:rsidDel="00000000" w:rsidP="00000000" w:rsidRDefault="00000000" w:rsidRPr="00000000" w14:paraId="00000032">
      <w:pPr>
        <w:numPr>
          <w:ilvl w:val="0"/>
          <w:numId w:val="2"/>
        </w:numPr>
        <w:ind w:left="720" w:hanging="360"/>
      </w:pPr>
      <w:r w:rsidDel="00000000" w:rsidR="00000000" w:rsidRPr="00000000">
        <w:rPr>
          <w:rtl w:val="0"/>
        </w:rPr>
        <w:t xml:space="preserve">Golden snub-nosed monkey (Rhinopithecus roxellana)</w:t>
      </w:r>
    </w:p>
    <w:p w:rsidR="00000000" w:rsidDel="00000000" w:rsidP="00000000" w:rsidRDefault="00000000" w:rsidRPr="00000000" w14:paraId="00000033">
      <w:pPr>
        <w:numPr>
          <w:ilvl w:val="0"/>
          <w:numId w:val="2"/>
        </w:numPr>
        <w:ind w:left="720" w:hanging="360"/>
      </w:pPr>
      <w:r w:rsidDel="00000000" w:rsidR="00000000" w:rsidRPr="00000000">
        <w:rPr>
          <w:rtl w:val="0"/>
        </w:rPr>
        <w:t xml:space="preserve">Gorilla (Gorilla gorilla gorilla)</w:t>
      </w:r>
    </w:p>
    <w:p w:rsidR="00000000" w:rsidDel="00000000" w:rsidP="00000000" w:rsidRDefault="00000000" w:rsidRPr="00000000" w14:paraId="00000034">
      <w:pPr>
        <w:numPr>
          <w:ilvl w:val="0"/>
          <w:numId w:val="2"/>
        </w:numPr>
        <w:ind w:left="720" w:hanging="360"/>
      </w:pPr>
      <w:r w:rsidDel="00000000" w:rsidR="00000000" w:rsidRPr="00000000">
        <w:rPr>
          <w:rtl w:val="0"/>
        </w:rPr>
        <w:t xml:space="preserve">Pig-tailed macaque (Macaca nemestrina)</w:t>
      </w:r>
    </w:p>
    <w:p w:rsidR="00000000" w:rsidDel="00000000" w:rsidP="00000000" w:rsidRDefault="00000000" w:rsidRPr="00000000" w14:paraId="00000035">
      <w:pPr>
        <w:numPr>
          <w:ilvl w:val="0"/>
          <w:numId w:val="2"/>
        </w:numPr>
        <w:ind w:left="720" w:hanging="360"/>
      </w:pPr>
      <w:r w:rsidDel="00000000" w:rsidR="00000000" w:rsidRPr="00000000">
        <w:rPr>
          <w:rtl w:val="0"/>
        </w:rPr>
        <w:t xml:space="preserve">Sooty mangabey (Cercocebus atys)</w:t>
      </w:r>
    </w:p>
    <w:p w:rsidR="00000000" w:rsidDel="00000000" w:rsidP="00000000" w:rsidRDefault="00000000" w:rsidRPr="00000000" w14:paraId="00000036">
      <w:pPr>
        <w:numPr>
          <w:ilvl w:val="0"/>
          <w:numId w:val="2"/>
        </w:numPr>
        <w:ind w:left="720" w:hanging="360"/>
      </w:pPr>
      <w:r w:rsidDel="00000000" w:rsidR="00000000" w:rsidRPr="00000000">
        <w:rPr>
          <w:rtl w:val="0"/>
        </w:rPr>
        <w:t xml:space="preserve">Vervet-AGM (Chlorocebus sabaeus)</w:t>
      </w:r>
    </w:p>
    <w:p w:rsidR="00000000" w:rsidDel="00000000" w:rsidP="00000000" w:rsidRDefault="00000000" w:rsidRPr="00000000" w14:paraId="00000037">
      <w:pPr>
        <w:numPr>
          <w:ilvl w:val="0"/>
          <w:numId w:val="2"/>
        </w:numPr>
        <w:ind w:left="720" w:hanging="360"/>
      </w:pPr>
      <w:r w:rsidDel="00000000" w:rsidR="00000000" w:rsidRPr="00000000">
        <w:rPr>
          <w:rtl w:val="0"/>
        </w:rPr>
        <w:t xml:space="preserve">White-tufted-ear marmoset (Callithrix jacchus)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Fuente:</w:t>
      </w:r>
    </w:p>
    <w:p w:rsidR="00000000" w:rsidDel="00000000" w:rsidP="00000000" w:rsidRDefault="00000000" w:rsidRPr="00000000" w14:paraId="0000003A">
      <w:pPr>
        <w:rPr/>
      </w:pPr>
      <w:hyperlink r:id="rId10">
        <w:r w:rsidDel="00000000" w:rsidR="00000000" w:rsidRPr="00000000">
          <w:rPr>
            <w:color w:val="1155cc"/>
            <w:u w:val="single"/>
            <w:rtl w:val="0"/>
          </w:rPr>
          <w:t xml:space="preserve">https://www.ensembl.org/Homo_sapiens/Gene/Compara_Ortholog?db=core;g=ENSG00000196735;r=6:32637406-32642981;t=ENST00000496318</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Se puede observar que, si bien en la base del NCBI aparecen dos resultados que no son Primates, este gen está fuertemente asociado al orden de los Mamíferos Placentarios Primates, existiendo gran cantidad de primates que cuentan con genes ortólogos al mismo.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c) ¿Cuántos transcritos y cuántas formas alternativas de splicing son conocidos para este gen / proteína? ¿Cuáles de estos splicing alternativos se expresan? ¿Tienen funciones alternativas? Buscar evidencia de esto en las base de datos de NCBI y en los transcriptos de Ensembl ¿Cómo el número de splicings alternativos diferente entre las dos bases de datos y cuál piensan que es más precisa y por qué?</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El Gen cuenta con 7 transcriptos en la base de datos de Ensambl, listados a continuación:</w:t>
      </w:r>
    </w:p>
    <w:p w:rsidR="00000000" w:rsidDel="00000000" w:rsidP="00000000" w:rsidRDefault="00000000" w:rsidRPr="00000000" w14:paraId="00000043">
      <w:pPr>
        <w:rPr/>
      </w:pPr>
      <w:r w:rsidDel="00000000" w:rsidR="00000000" w:rsidRPr="00000000">
        <w:rPr/>
        <w:drawing>
          <wp:inline distB="114300" distT="114300" distL="114300" distR="114300">
            <wp:extent cx="5731200" cy="12573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hyperlink r:id="rId12">
        <w:r w:rsidDel="00000000" w:rsidR="00000000" w:rsidRPr="00000000">
          <w:rPr>
            <w:color w:val="1155cc"/>
            <w:u w:val="single"/>
            <w:rtl w:val="0"/>
          </w:rPr>
          <w:t xml:space="preserve">https://www.ensembl.org/Homo_sapiens/Gene/Splice?db=core;g=ENSG00000196735;r=6:32637406-32642981;t=ENST00000496318</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color w:val="202122"/>
          <w:sz w:val="21"/>
          <w:szCs w:val="21"/>
          <w:highlight w:val="white"/>
        </w:rPr>
      </w:pPr>
      <w:r w:rsidDel="00000000" w:rsidR="00000000" w:rsidRPr="00000000">
        <w:rPr>
          <w:rtl w:val="0"/>
        </w:rPr>
        <w:t xml:space="preserve">Podemos observar que 5 de ellos cumplen con la función de codeo de proteínas mientras que uno de ellos cumple con la función de </w:t>
      </w:r>
      <w:r w:rsidDel="00000000" w:rsidR="00000000" w:rsidRPr="00000000">
        <w:rPr>
          <w:b w:val="1"/>
          <w:color w:val="202122"/>
          <w:sz w:val="21"/>
          <w:szCs w:val="21"/>
          <w:highlight w:val="white"/>
          <w:rtl w:val="0"/>
        </w:rPr>
        <w:t xml:space="preserve">NMD</w:t>
      </w:r>
      <w:r w:rsidDel="00000000" w:rsidR="00000000" w:rsidRPr="00000000">
        <w:rPr>
          <w:color w:val="202122"/>
          <w:sz w:val="21"/>
          <w:szCs w:val="21"/>
          <w:highlight w:val="white"/>
          <w:rtl w:val="0"/>
        </w:rPr>
        <w:t xml:space="preserve"> (</w:t>
      </w:r>
      <w:r w:rsidDel="00000000" w:rsidR="00000000" w:rsidRPr="00000000">
        <w:rPr>
          <w:i w:val="1"/>
          <w:color w:val="202122"/>
          <w:sz w:val="21"/>
          <w:szCs w:val="21"/>
          <w:highlight w:val="white"/>
          <w:rtl w:val="0"/>
        </w:rPr>
        <w:t xml:space="preserve">Nonsense Mediated Decay, un mecanismo celular de vigilancia del ARN mensajero para detectar mutaciones terminadoras</w:t>
      </w:r>
      <w:r w:rsidDel="00000000" w:rsidR="00000000" w:rsidRPr="00000000">
        <w:rPr>
          <w:color w:val="202122"/>
          <w:sz w:val="21"/>
          <w:szCs w:val="21"/>
          <w:highlight w:val="white"/>
          <w:rtl w:val="0"/>
        </w:rPr>
        <w:t xml:space="preserve">) y el restante ‘Retained Intron’.</w:t>
      </w:r>
    </w:p>
    <w:p w:rsidR="00000000" w:rsidDel="00000000" w:rsidP="00000000" w:rsidRDefault="00000000" w:rsidRPr="00000000" w14:paraId="00000047">
      <w:pPr>
        <w:rPr>
          <w:color w:val="202122"/>
          <w:sz w:val="21"/>
          <w:szCs w:val="21"/>
          <w:highlight w:val="white"/>
        </w:rPr>
      </w:pPr>
      <w:r w:rsidDel="00000000" w:rsidR="00000000" w:rsidRPr="00000000">
        <w:rPr>
          <w:rtl w:val="0"/>
        </w:rPr>
      </w:r>
    </w:p>
    <w:p w:rsidR="00000000" w:rsidDel="00000000" w:rsidP="00000000" w:rsidRDefault="00000000" w:rsidRPr="00000000" w14:paraId="00000048">
      <w:pPr>
        <w:rPr>
          <w:color w:val="202122"/>
          <w:sz w:val="21"/>
          <w:szCs w:val="21"/>
          <w:highlight w:val="white"/>
        </w:rPr>
      </w:pPr>
      <w:r w:rsidDel="00000000" w:rsidR="00000000" w:rsidRPr="00000000">
        <w:rPr>
          <w:rtl w:val="0"/>
        </w:rPr>
      </w:r>
    </w:p>
    <w:p w:rsidR="00000000" w:rsidDel="00000000" w:rsidP="00000000" w:rsidRDefault="00000000" w:rsidRPr="00000000" w14:paraId="00000049">
      <w:pPr>
        <w:rPr>
          <w:color w:val="202122"/>
          <w:sz w:val="21"/>
          <w:szCs w:val="21"/>
          <w:highlight w:val="white"/>
        </w:rPr>
      </w:pPr>
      <w:r w:rsidDel="00000000" w:rsidR="00000000" w:rsidRPr="00000000">
        <w:rPr>
          <w:color w:val="202122"/>
          <w:sz w:val="21"/>
          <w:szCs w:val="21"/>
          <w:highlight w:val="white"/>
          <w:rtl w:val="0"/>
        </w:rPr>
        <w:t xml:space="preserve">En la base de datos del NCBI, podemos encontrar solamente 2 transcriptos para este gen:</w:t>
      </w:r>
    </w:p>
    <w:p w:rsidR="00000000" w:rsidDel="00000000" w:rsidP="00000000" w:rsidRDefault="00000000" w:rsidRPr="00000000" w14:paraId="0000004A">
      <w:pPr>
        <w:rPr>
          <w:color w:val="202122"/>
          <w:sz w:val="21"/>
          <w:szCs w:val="21"/>
          <w:highlight w:val="white"/>
        </w:rPr>
      </w:pPr>
      <w:r w:rsidDel="00000000" w:rsidR="00000000" w:rsidRPr="00000000">
        <w:rPr>
          <w:color w:val="202122"/>
          <w:sz w:val="21"/>
          <w:szCs w:val="21"/>
          <w:highlight w:val="white"/>
        </w:rPr>
        <w:drawing>
          <wp:inline distB="114300" distT="114300" distL="114300" distR="114300">
            <wp:extent cx="6480854" cy="742822"/>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480854" cy="74282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color w:val="202122"/>
          <w:sz w:val="21"/>
          <w:szCs w:val="21"/>
          <w:highlight w:val="white"/>
        </w:rPr>
      </w:pPr>
      <w:hyperlink r:id="rId14">
        <w:r w:rsidDel="00000000" w:rsidR="00000000" w:rsidRPr="00000000">
          <w:rPr>
            <w:color w:val="1155cc"/>
            <w:sz w:val="21"/>
            <w:szCs w:val="21"/>
            <w:highlight w:val="white"/>
            <w:u w:val="single"/>
            <w:rtl w:val="0"/>
          </w:rPr>
          <w:t xml:space="preserve">https://www.ncbi.nlm.nih.gov/datasets/tables/genes/?table_type=transcripts&amp;ids=3117&amp;utm_source=gene&amp;utm_medium=referral&amp;utm_campaign=summary</w:t>
        </w:r>
      </w:hyperlink>
      <w:r w:rsidDel="00000000" w:rsidR="00000000" w:rsidRPr="00000000">
        <w:rPr>
          <w:rtl w:val="0"/>
        </w:rPr>
      </w:r>
    </w:p>
    <w:p w:rsidR="00000000" w:rsidDel="00000000" w:rsidP="00000000" w:rsidRDefault="00000000" w:rsidRPr="00000000" w14:paraId="0000004C">
      <w:pPr>
        <w:rPr>
          <w:color w:val="202122"/>
          <w:sz w:val="21"/>
          <w:szCs w:val="21"/>
          <w:highlight w:val="white"/>
        </w:rPr>
      </w:pPr>
      <w:r w:rsidDel="00000000" w:rsidR="00000000" w:rsidRPr="00000000">
        <w:rPr>
          <w:rtl w:val="0"/>
        </w:rPr>
      </w:r>
    </w:p>
    <w:p w:rsidR="00000000" w:rsidDel="00000000" w:rsidP="00000000" w:rsidRDefault="00000000" w:rsidRPr="00000000" w14:paraId="0000004D">
      <w:pPr>
        <w:rPr>
          <w:color w:val="202122"/>
          <w:sz w:val="21"/>
          <w:szCs w:val="21"/>
          <w:highlight w:val="white"/>
        </w:rPr>
      </w:pPr>
      <w:r w:rsidDel="00000000" w:rsidR="00000000" w:rsidRPr="00000000">
        <w:rPr>
          <w:rtl w:val="0"/>
        </w:rPr>
      </w:r>
    </w:p>
    <w:p w:rsidR="00000000" w:rsidDel="00000000" w:rsidP="00000000" w:rsidRDefault="00000000" w:rsidRPr="00000000" w14:paraId="0000004E">
      <w:pPr>
        <w:rPr>
          <w:color w:val="202122"/>
          <w:sz w:val="21"/>
          <w:szCs w:val="21"/>
          <w:highlight w:val="white"/>
        </w:rPr>
      </w:pPr>
      <w:r w:rsidDel="00000000" w:rsidR="00000000" w:rsidRPr="00000000">
        <w:rPr>
          <w:color w:val="202122"/>
          <w:sz w:val="21"/>
          <w:szCs w:val="21"/>
          <w:highlight w:val="white"/>
          <w:rtl w:val="0"/>
        </w:rPr>
        <w:t xml:space="preserve">En este caso, la base de datos de Ensembl parece ser la más precisa, por contar con mayor número de transcripciones alternativas de este gen.</w:t>
      </w:r>
    </w:p>
    <w:p w:rsidR="00000000" w:rsidDel="00000000" w:rsidP="00000000" w:rsidRDefault="00000000" w:rsidRPr="00000000" w14:paraId="0000004F">
      <w:pPr>
        <w:rPr>
          <w:color w:val="202122"/>
          <w:sz w:val="21"/>
          <w:szCs w:val="21"/>
          <w:highlight w:val="white"/>
        </w:rPr>
      </w:pPr>
      <w:r w:rsidDel="00000000" w:rsidR="00000000" w:rsidRPr="00000000">
        <w:rPr>
          <w:rtl w:val="0"/>
        </w:rPr>
      </w:r>
    </w:p>
    <w:p w:rsidR="00000000" w:rsidDel="00000000" w:rsidP="00000000" w:rsidRDefault="00000000" w:rsidRPr="00000000" w14:paraId="00000050">
      <w:pPr>
        <w:rPr>
          <w:color w:val="202122"/>
          <w:sz w:val="21"/>
          <w:szCs w:val="21"/>
          <w:highlight w:val="white"/>
        </w:rPr>
      </w:pPr>
      <w:r w:rsidDel="00000000" w:rsidR="00000000" w:rsidRPr="00000000">
        <w:rPr>
          <w:rtl w:val="0"/>
        </w:rPr>
      </w:r>
    </w:p>
    <w:p w:rsidR="00000000" w:rsidDel="00000000" w:rsidP="00000000" w:rsidRDefault="00000000" w:rsidRPr="00000000" w14:paraId="00000051">
      <w:pPr>
        <w:rPr>
          <w:b w:val="1"/>
          <w:color w:val="202122"/>
          <w:sz w:val="21"/>
          <w:szCs w:val="21"/>
          <w:highlight w:val="white"/>
        </w:rPr>
      </w:pPr>
      <w:r w:rsidDel="00000000" w:rsidR="00000000" w:rsidRPr="00000000">
        <w:rPr>
          <w:b w:val="1"/>
          <w:color w:val="202122"/>
          <w:sz w:val="21"/>
          <w:szCs w:val="21"/>
          <w:highlight w:val="white"/>
          <w:rtl w:val="0"/>
        </w:rPr>
        <w:t xml:space="preserve">d) ¿Con cuántas otras proteínas interactúan el producto génico de su gen? ¿Existe un patrón o relación entre las interacciones? Mencione las interacciones interesantes o inusuales. Usted encontrará las interacciones de su gene/proteína tanto en la base de datos NCBI Gene como en la base de datos UniProt . Compare las dos tablas entre sí. ¿Hay proteínas que interactúan únicas para cada tabla?</w:t>
      </w:r>
    </w:p>
    <w:p w:rsidR="00000000" w:rsidDel="00000000" w:rsidP="00000000" w:rsidRDefault="00000000" w:rsidRPr="00000000" w14:paraId="00000052">
      <w:pPr>
        <w:rPr>
          <w:color w:val="202122"/>
          <w:sz w:val="21"/>
          <w:szCs w:val="21"/>
          <w:highlight w:val="white"/>
        </w:rPr>
      </w:pPr>
      <w:r w:rsidDel="00000000" w:rsidR="00000000" w:rsidRPr="00000000">
        <w:rPr>
          <w:rtl w:val="0"/>
        </w:rPr>
      </w:r>
    </w:p>
    <w:p w:rsidR="00000000" w:rsidDel="00000000" w:rsidP="00000000" w:rsidRDefault="00000000" w:rsidRPr="00000000" w14:paraId="00000053">
      <w:pPr>
        <w:rPr>
          <w:color w:val="202122"/>
          <w:sz w:val="21"/>
          <w:szCs w:val="21"/>
          <w:highlight w:val="white"/>
        </w:rPr>
      </w:pPr>
      <w:r w:rsidDel="00000000" w:rsidR="00000000" w:rsidRPr="00000000">
        <w:rPr>
          <w:color w:val="202122"/>
          <w:sz w:val="21"/>
          <w:szCs w:val="21"/>
          <w:highlight w:val="white"/>
          <w:rtl w:val="0"/>
        </w:rPr>
        <w:t xml:space="preserve">En la base de datos del NCBI podemos encontrar 139 interacciones con otras proteínas. A modo de ejemplo, listamos algunas de ellas:</w:t>
        <w:br w:type="textWrapping"/>
      </w:r>
      <w:r w:rsidDel="00000000" w:rsidR="00000000" w:rsidRPr="00000000">
        <w:rPr>
          <w:color w:val="202122"/>
          <w:sz w:val="21"/>
          <w:szCs w:val="21"/>
          <w:highlight w:val="white"/>
        </w:rPr>
        <w:drawing>
          <wp:inline distB="114300" distT="114300" distL="114300" distR="114300">
            <wp:extent cx="5731200" cy="39243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color w:val="202122"/>
          <w:sz w:val="21"/>
          <w:szCs w:val="21"/>
          <w:highlight w:val="white"/>
        </w:rPr>
      </w:pPr>
      <w:hyperlink r:id="rId16">
        <w:r w:rsidDel="00000000" w:rsidR="00000000" w:rsidRPr="00000000">
          <w:rPr>
            <w:color w:val="1155cc"/>
            <w:sz w:val="21"/>
            <w:szCs w:val="21"/>
            <w:highlight w:val="white"/>
            <w:u w:val="single"/>
            <w:rtl w:val="0"/>
          </w:rPr>
          <w:t xml:space="preserve">https://www.ncbi.nlm.nih.gov/gene/3117#interactions</w:t>
        </w:r>
      </w:hyperlink>
      <w:r w:rsidDel="00000000" w:rsidR="00000000" w:rsidRPr="00000000">
        <w:rPr>
          <w:rtl w:val="0"/>
        </w:rPr>
      </w:r>
    </w:p>
    <w:p w:rsidR="00000000" w:rsidDel="00000000" w:rsidP="00000000" w:rsidRDefault="00000000" w:rsidRPr="00000000" w14:paraId="00000055">
      <w:pPr>
        <w:rPr>
          <w:color w:val="202122"/>
          <w:sz w:val="21"/>
          <w:szCs w:val="21"/>
          <w:highlight w:val="white"/>
        </w:rPr>
      </w:pPr>
      <w:r w:rsidDel="00000000" w:rsidR="00000000" w:rsidRPr="00000000">
        <w:rPr>
          <w:rtl w:val="0"/>
        </w:rPr>
      </w:r>
    </w:p>
    <w:p w:rsidR="00000000" w:rsidDel="00000000" w:rsidP="00000000" w:rsidRDefault="00000000" w:rsidRPr="00000000" w14:paraId="00000056">
      <w:pPr>
        <w:rPr>
          <w:color w:val="202122"/>
          <w:sz w:val="21"/>
          <w:szCs w:val="21"/>
          <w:highlight w:val="white"/>
        </w:rPr>
      </w:pPr>
      <w:r w:rsidDel="00000000" w:rsidR="00000000" w:rsidRPr="00000000">
        <w:rPr>
          <w:color w:val="202122"/>
          <w:sz w:val="21"/>
          <w:szCs w:val="21"/>
          <w:highlight w:val="white"/>
          <w:rtl w:val="0"/>
        </w:rPr>
        <w:t xml:space="preserve">En cambio, dentro de Uniprot / BioGrid se encuentran listadas 189 interacciones del gen con otras proteinas. </w:t>
      </w:r>
    </w:p>
    <w:p w:rsidR="00000000" w:rsidDel="00000000" w:rsidP="00000000" w:rsidRDefault="00000000" w:rsidRPr="00000000" w14:paraId="00000057">
      <w:pPr>
        <w:rPr>
          <w:color w:val="202122"/>
          <w:sz w:val="21"/>
          <w:szCs w:val="21"/>
          <w:highlight w:val="white"/>
        </w:rPr>
      </w:pPr>
      <w:r w:rsidDel="00000000" w:rsidR="00000000" w:rsidRPr="00000000">
        <w:rPr>
          <w:color w:val="202122"/>
          <w:sz w:val="21"/>
          <w:szCs w:val="21"/>
          <w:highlight w:val="white"/>
        </w:rPr>
        <w:drawing>
          <wp:inline distB="114300" distT="114300" distL="114300" distR="114300">
            <wp:extent cx="5731200" cy="34544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color w:val="202122"/>
          <w:sz w:val="21"/>
          <w:szCs w:val="21"/>
          <w:highlight w:val="white"/>
        </w:rPr>
      </w:pPr>
      <w:r w:rsidDel="00000000" w:rsidR="00000000" w:rsidRPr="00000000">
        <w:rPr>
          <w:rtl w:val="0"/>
        </w:rPr>
      </w:r>
    </w:p>
    <w:p w:rsidR="00000000" w:rsidDel="00000000" w:rsidP="00000000" w:rsidRDefault="00000000" w:rsidRPr="00000000" w14:paraId="00000059">
      <w:pPr>
        <w:rPr>
          <w:color w:val="202122"/>
          <w:sz w:val="21"/>
          <w:szCs w:val="21"/>
          <w:highlight w:val="white"/>
        </w:rPr>
      </w:pPr>
      <w:hyperlink r:id="rId18">
        <w:r w:rsidDel="00000000" w:rsidR="00000000" w:rsidRPr="00000000">
          <w:rPr>
            <w:color w:val="1155cc"/>
            <w:sz w:val="21"/>
            <w:szCs w:val="21"/>
            <w:highlight w:val="white"/>
            <w:u w:val="single"/>
            <w:rtl w:val="0"/>
          </w:rPr>
          <w:t xml:space="preserve">https://thebiogrid.org/109362</w:t>
        </w:r>
      </w:hyperlink>
      <w:r w:rsidDel="00000000" w:rsidR="00000000" w:rsidRPr="00000000">
        <w:rPr>
          <w:rtl w:val="0"/>
        </w:rPr>
      </w:r>
    </w:p>
    <w:p w:rsidR="00000000" w:rsidDel="00000000" w:rsidP="00000000" w:rsidRDefault="00000000" w:rsidRPr="00000000" w14:paraId="0000005A">
      <w:pPr>
        <w:rPr>
          <w:b w:val="1"/>
          <w:color w:val="202122"/>
          <w:sz w:val="21"/>
          <w:szCs w:val="21"/>
          <w:highlight w:val="white"/>
        </w:rPr>
      </w:pPr>
      <w:r w:rsidDel="00000000" w:rsidR="00000000" w:rsidRPr="00000000">
        <w:rPr>
          <w:rtl w:val="0"/>
        </w:rPr>
      </w:r>
    </w:p>
    <w:p w:rsidR="00000000" w:rsidDel="00000000" w:rsidP="00000000" w:rsidRDefault="00000000" w:rsidRPr="00000000" w14:paraId="0000005B">
      <w:pPr>
        <w:rPr>
          <w:b w:val="1"/>
          <w:color w:val="202122"/>
          <w:sz w:val="21"/>
          <w:szCs w:val="21"/>
          <w:highlight w:val="white"/>
        </w:rPr>
      </w:pPr>
      <w:r w:rsidDel="00000000" w:rsidR="00000000" w:rsidRPr="00000000">
        <w:rPr>
          <w:rtl w:val="0"/>
        </w:rPr>
      </w:r>
    </w:p>
    <w:p w:rsidR="00000000" w:rsidDel="00000000" w:rsidP="00000000" w:rsidRDefault="00000000" w:rsidRPr="00000000" w14:paraId="0000005C">
      <w:pPr>
        <w:rPr>
          <w:b w:val="1"/>
          <w:color w:val="202122"/>
          <w:sz w:val="21"/>
          <w:szCs w:val="21"/>
          <w:highlight w:val="white"/>
        </w:rPr>
      </w:pPr>
      <w:r w:rsidDel="00000000" w:rsidR="00000000" w:rsidRPr="00000000">
        <w:rPr>
          <w:b w:val="1"/>
          <w:color w:val="202122"/>
          <w:sz w:val="21"/>
          <w:szCs w:val="21"/>
          <w:highlight w:val="white"/>
          <w:rtl w:val="0"/>
        </w:rPr>
        <w:t xml:space="preserve">e) Expliquen brevemente de qué componente celular forma parte su proteína (pista: se puede estudiar la información de Gene Ontology - GO), ¿A qué procesos biológicos pertenece (pista idem)? y ¿En qué función molecular trabaja esta proteína? Los términos ontológicos de genes los pueden encontrar tanto en NCBI Gene y en la base de datos UniProt como haciendo una búsqueda en AmiGO. </w:t>
      </w:r>
    </w:p>
    <w:p w:rsidR="00000000" w:rsidDel="00000000" w:rsidP="00000000" w:rsidRDefault="00000000" w:rsidRPr="00000000" w14:paraId="0000005D">
      <w:pPr>
        <w:rPr>
          <w:b w:val="1"/>
          <w:color w:val="202122"/>
          <w:sz w:val="21"/>
          <w:szCs w:val="21"/>
          <w:highlight w:val="white"/>
        </w:rPr>
      </w:pPr>
      <w:r w:rsidDel="00000000" w:rsidR="00000000" w:rsidRPr="00000000">
        <w:rPr>
          <w:rtl w:val="0"/>
        </w:rPr>
      </w:r>
    </w:p>
    <w:p w:rsidR="00000000" w:rsidDel="00000000" w:rsidP="00000000" w:rsidRDefault="00000000" w:rsidRPr="00000000" w14:paraId="0000005E">
      <w:pPr>
        <w:rPr>
          <w:b w:val="1"/>
          <w:color w:val="202122"/>
          <w:highlight w:val="white"/>
        </w:rPr>
      </w:pPr>
      <w:r w:rsidDel="00000000" w:rsidR="00000000" w:rsidRPr="00000000">
        <w:rPr>
          <w:b w:val="1"/>
          <w:color w:val="202122"/>
          <w:highlight w:val="white"/>
          <w:rtl w:val="0"/>
        </w:rPr>
        <w:t xml:space="preserve">Componentes:</w:t>
      </w:r>
    </w:p>
    <w:p w:rsidR="00000000" w:rsidDel="00000000" w:rsidP="00000000" w:rsidRDefault="00000000" w:rsidRPr="00000000" w14:paraId="0000005F">
      <w:pPr>
        <w:numPr>
          <w:ilvl w:val="0"/>
          <w:numId w:val="3"/>
        </w:numPr>
        <w:ind w:left="720" w:hanging="360"/>
        <w:rPr>
          <w:color w:val="202122"/>
          <w:highlight w:val="white"/>
          <w:u w:val="none"/>
        </w:rPr>
      </w:pPr>
      <w:r w:rsidDel="00000000" w:rsidR="00000000" w:rsidRPr="00000000">
        <w:rPr>
          <w:color w:val="202122"/>
          <w:highlight w:val="white"/>
          <w:rtl w:val="0"/>
        </w:rPr>
        <w:t xml:space="preserve">Vesícula endocítica</w:t>
      </w:r>
    </w:p>
    <w:p w:rsidR="00000000" w:rsidDel="00000000" w:rsidP="00000000" w:rsidRDefault="00000000" w:rsidRPr="00000000" w14:paraId="00000060">
      <w:pPr>
        <w:numPr>
          <w:ilvl w:val="0"/>
          <w:numId w:val="3"/>
        </w:numPr>
        <w:ind w:left="720" w:hanging="360"/>
        <w:rPr>
          <w:color w:val="202122"/>
          <w:highlight w:val="white"/>
          <w:u w:val="none"/>
        </w:rPr>
      </w:pPr>
      <w:r w:rsidDel="00000000" w:rsidR="00000000" w:rsidRPr="00000000">
        <w:rPr>
          <w:color w:val="202122"/>
          <w:highlight w:val="white"/>
          <w:rtl w:val="0"/>
        </w:rPr>
        <w:t xml:space="preserve">Endosoma</w:t>
      </w:r>
    </w:p>
    <w:p w:rsidR="00000000" w:rsidDel="00000000" w:rsidP="00000000" w:rsidRDefault="00000000" w:rsidRPr="00000000" w14:paraId="00000061">
      <w:pPr>
        <w:numPr>
          <w:ilvl w:val="0"/>
          <w:numId w:val="3"/>
        </w:numPr>
        <w:ind w:left="720" w:hanging="360"/>
        <w:rPr>
          <w:color w:val="202122"/>
          <w:highlight w:val="white"/>
          <w:u w:val="none"/>
        </w:rPr>
      </w:pPr>
      <w:r w:rsidDel="00000000" w:rsidR="00000000" w:rsidRPr="00000000">
        <w:rPr>
          <w:color w:val="202122"/>
          <w:highlight w:val="white"/>
          <w:rtl w:val="0"/>
        </w:rPr>
        <w:t xml:space="preserve">Membrana lisosomal</w:t>
      </w:r>
    </w:p>
    <w:p w:rsidR="00000000" w:rsidDel="00000000" w:rsidP="00000000" w:rsidRDefault="00000000" w:rsidRPr="00000000" w14:paraId="00000062">
      <w:pPr>
        <w:numPr>
          <w:ilvl w:val="0"/>
          <w:numId w:val="3"/>
        </w:numPr>
        <w:ind w:left="720" w:hanging="360"/>
        <w:rPr>
          <w:color w:val="202122"/>
          <w:highlight w:val="white"/>
          <w:u w:val="none"/>
        </w:rPr>
      </w:pPr>
      <w:r w:rsidDel="00000000" w:rsidR="00000000" w:rsidRPr="00000000">
        <w:rPr>
          <w:color w:val="202122"/>
          <w:highlight w:val="white"/>
          <w:rtl w:val="0"/>
        </w:rPr>
        <w:t xml:space="preserve">Membrana plasmática</w:t>
      </w:r>
    </w:p>
    <w:p w:rsidR="00000000" w:rsidDel="00000000" w:rsidP="00000000" w:rsidRDefault="00000000" w:rsidRPr="00000000" w14:paraId="00000063">
      <w:pPr>
        <w:numPr>
          <w:ilvl w:val="0"/>
          <w:numId w:val="3"/>
        </w:numPr>
        <w:ind w:left="720" w:hanging="360"/>
        <w:rPr>
          <w:color w:val="202122"/>
          <w:highlight w:val="white"/>
          <w:u w:val="none"/>
        </w:rPr>
      </w:pPr>
      <w:r w:rsidDel="00000000" w:rsidR="00000000" w:rsidRPr="00000000">
        <w:rPr>
          <w:color w:val="202122"/>
          <w:highlight w:val="white"/>
          <w:rtl w:val="0"/>
        </w:rPr>
        <w:t xml:space="preserve">Membrana de Golgi</w:t>
      </w:r>
    </w:p>
    <w:p w:rsidR="00000000" w:rsidDel="00000000" w:rsidP="00000000" w:rsidRDefault="00000000" w:rsidRPr="00000000" w14:paraId="00000064">
      <w:pPr>
        <w:rPr>
          <w:color w:val="202122"/>
          <w:highlight w:val="white"/>
        </w:rPr>
      </w:pPr>
      <w:r w:rsidDel="00000000" w:rsidR="00000000" w:rsidRPr="00000000">
        <w:rPr>
          <w:rtl w:val="0"/>
        </w:rPr>
      </w:r>
    </w:p>
    <w:p w:rsidR="00000000" w:rsidDel="00000000" w:rsidP="00000000" w:rsidRDefault="00000000" w:rsidRPr="00000000" w14:paraId="00000065">
      <w:pPr>
        <w:rPr>
          <w:b w:val="1"/>
          <w:color w:val="202122"/>
          <w:highlight w:val="white"/>
        </w:rPr>
      </w:pPr>
      <w:r w:rsidDel="00000000" w:rsidR="00000000" w:rsidRPr="00000000">
        <w:rPr>
          <w:b w:val="1"/>
          <w:color w:val="202122"/>
          <w:highlight w:val="white"/>
          <w:rtl w:val="0"/>
        </w:rPr>
        <w:t xml:space="preserve">Procesos:</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Respuesta inmune adaptativa</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P</w:t>
      </w:r>
      <w:r w:rsidDel="00000000" w:rsidR="00000000" w:rsidRPr="00000000">
        <w:rPr>
          <w:color w:val="202122"/>
          <w:highlight w:val="white"/>
          <w:rtl w:val="0"/>
        </w:rPr>
        <w:t xml:space="preserve">rocesamiento de antígenos y la presentación de antígenos peptídicos exógenos a través del MHC de clase II</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R</w:t>
      </w:r>
      <w:r w:rsidDel="00000000" w:rsidR="00000000" w:rsidRPr="00000000">
        <w:rPr>
          <w:color w:val="202122"/>
          <w:highlight w:val="white"/>
          <w:rtl w:val="0"/>
        </w:rPr>
        <w:t xml:space="preserve">espuesta inmune</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P</w:t>
      </w:r>
      <w:r w:rsidDel="00000000" w:rsidR="00000000" w:rsidRPr="00000000">
        <w:rPr>
          <w:color w:val="202122"/>
          <w:highlight w:val="white"/>
          <w:rtl w:val="0"/>
        </w:rPr>
        <w:t xml:space="preserve">roducción de inmunoglobulina implicado en la respuesta inmunitaria mediada por inmunoglobulina</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Ensamblaje del antígeno peptídico con el complejo proteico MHC clase II</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Regulación positiva de la activación de células T</w:t>
      </w:r>
    </w:p>
    <w:p w:rsidR="00000000" w:rsidDel="00000000" w:rsidP="00000000" w:rsidRDefault="00000000" w:rsidRPr="00000000" w14:paraId="0000006C">
      <w:pPr>
        <w:rPr>
          <w:color w:val="202122"/>
          <w:highlight w:val="white"/>
        </w:rPr>
      </w:pPr>
      <w:r w:rsidDel="00000000" w:rsidR="00000000" w:rsidRPr="00000000">
        <w:rPr>
          <w:rtl w:val="0"/>
        </w:rPr>
      </w:r>
    </w:p>
    <w:p w:rsidR="00000000" w:rsidDel="00000000" w:rsidP="00000000" w:rsidRDefault="00000000" w:rsidRPr="00000000" w14:paraId="0000006D">
      <w:pPr>
        <w:rPr>
          <w:color w:val="202122"/>
          <w:highlight w:val="white"/>
        </w:rPr>
      </w:pPr>
      <w:r w:rsidDel="00000000" w:rsidR="00000000" w:rsidRPr="00000000">
        <w:rPr>
          <w:b w:val="1"/>
          <w:color w:val="202122"/>
          <w:highlight w:val="white"/>
          <w:rtl w:val="0"/>
        </w:rPr>
        <w:t xml:space="preserve">Funciones:</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U</w:t>
      </w:r>
      <w:r w:rsidDel="00000000" w:rsidR="00000000" w:rsidRPr="00000000">
        <w:rPr>
          <w:color w:val="202122"/>
          <w:highlight w:val="white"/>
          <w:rtl w:val="0"/>
        </w:rPr>
        <w:t xml:space="preserve">nión del complejo proteico MHC clase II</w:t>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Actividad del receptor MHC clase II</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Actividad del receptor MHC clase II</w:t>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Unión al antígeno peptídico</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Unión a proteínas</w:t>
      </w:r>
      <w:r w:rsidDel="00000000" w:rsidR="00000000" w:rsidRPr="00000000">
        <w:rPr>
          <w:rtl w:val="0"/>
        </w:rPr>
      </w:r>
    </w:p>
    <w:p w:rsidR="00000000" w:rsidDel="00000000" w:rsidP="00000000" w:rsidRDefault="00000000" w:rsidRPr="00000000" w14:paraId="00000073">
      <w:pPr>
        <w:rPr>
          <w:color w:val="202122"/>
          <w:highlight w:val="white"/>
        </w:rPr>
      </w:pPr>
      <w:r w:rsidDel="00000000" w:rsidR="00000000" w:rsidRPr="00000000">
        <w:rPr>
          <w:rtl w:val="0"/>
        </w:rPr>
      </w:r>
    </w:p>
    <w:p w:rsidR="00000000" w:rsidDel="00000000" w:rsidP="00000000" w:rsidRDefault="00000000" w:rsidRPr="00000000" w14:paraId="00000074">
      <w:pPr>
        <w:rPr>
          <w:color w:val="202122"/>
          <w:highlight w:val="white"/>
        </w:rPr>
      </w:pPr>
      <w:hyperlink r:id="rId19">
        <w:r w:rsidDel="00000000" w:rsidR="00000000" w:rsidRPr="00000000">
          <w:rPr>
            <w:color w:val="1155cc"/>
            <w:highlight w:val="white"/>
            <w:u w:val="single"/>
            <w:rtl w:val="0"/>
          </w:rPr>
          <w:t xml:space="preserve">https://www.ncbi.nlm.nih.gov/gene/3117#general-gene-info</w:t>
        </w:r>
      </w:hyperlink>
      <w:r w:rsidDel="00000000" w:rsidR="00000000" w:rsidRPr="00000000">
        <w:rPr>
          <w:rtl w:val="0"/>
        </w:rPr>
      </w:r>
    </w:p>
    <w:p w:rsidR="00000000" w:rsidDel="00000000" w:rsidP="00000000" w:rsidRDefault="00000000" w:rsidRPr="00000000" w14:paraId="00000075">
      <w:pPr>
        <w:rPr>
          <w:b w:val="1"/>
          <w:color w:val="202122"/>
          <w:sz w:val="21"/>
          <w:szCs w:val="21"/>
          <w:highlight w:val="white"/>
        </w:rPr>
      </w:pPr>
      <w:r w:rsidDel="00000000" w:rsidR="00000000" w:rsidRPr="00000000">
        <w:rPr>
          <w:rtl w:val="0"/>
        </w:rPr>
      </w:r>
    </w:p>
    <w:p w:rsidR="00000000" w:rsidDel="00000000" w:rsidP="00000000" w:rsidRDefault="00000000" w:rsidRPr="00000000" w14:paraId="00000076">
      <w:pPr>
        <w:rPr>
          <w:b w:val="1"/>
          <w:color w:val="202122"/>
          <w:sz w:val="21"/>
          <w:szCs w:val="21"/>
          <w:highlight w:val="white"/>
        </w:rPr>
      </w:pPr>
      <w:r w:rsidDel="00000000" w:rsidR="00000000" w:rsidRPr="00000000">
        <w:rPr>
          <w:b w:val="1"/>
          <w:color w:val="202122"/>
          <w:sz w:val="21"/>
          <w:szCs w:val="21"/>
          <w:highlight w:val="white"/>
          <w:rtl w:val="0"/>
        </w:rPr>
        <w:t xml:space="preserve">f) Discutan brevemente en qué estructura o vías metabólicas específicas (pathways) estaría participando su gen / proteína? (Reactome, KEGG son algunas bases de datos de pathways). </w:t>
      </w:r>
    </w:p>
    <w:p w:rsidR="00000000" w:rsidDel="00000000" w:rsidP="00000000" w:rsidRDefault="00000000" w:rsidRPr="00000000" w14:paraId="00000077">
      <w:pPr>
        <w:rPr>
          <w:b w:val="1"/>
          <w:color w:val="202122"/>
          <w:sz w:val="21"/>
          <w:szCs w:val="21"/>
          <w:highlight w:val="whit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highlight w:val="white"/>
        </w:rPr>
      </w:pPr>
      <w:r w:rsidDel="00000000" w:rsidR="00000000" w:rsidRPr="00000000">
        <w:rPr>
          <w:color w:val="202122"/>
          <w:highlight w:val="white"/>
          <w:rtl w:val="0"/>
        </w:rPr>
        <w:t xml:space="preserve">En la base de datos de KEGG, se pueden encontrar 24 pathways en las que participa el producto génico del gen de interés (HLA-DQA1)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highlight w:val="whit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hsa04145 -&gt; fagosoma</w:t>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hsa04514 -&gt; moléculas de adhesión celular</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hsa04612 -&gt; Procesamiento y presentación de antígenos</w:t>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hsa04640 -&gt; Linaje de células hematopoyéticas</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hsa04658 -&gt; Diferenciación de células Th1 y Th2</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hsa04659 -&gt; diferenciación de células Th17</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hsa04672 -&gt; Red inmune intestinal para la producción de IgA</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hsa04940 -&gt; Diabetes mellitus tipo I</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hsa05140 -&gt; leishmaniosis</w:t>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hsa05145 -&gt; toxoplasmosis</w:t>
      </w:r>
    </w:p>
    <w:p w:rsidR="00000000" w:rsidDel="00000000" w:rsidP="00000000" w:rsidRDefault="00000000" w:rsidRPr="00000000" w14:paraId="000000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hsa05150 -&gt; Infección por Staphylococcus aureus</w:t>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hsa05152 -&gt; Tuberculosis</w:t>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hsa05164 -&gt; gripe A</w:t>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hsa05166 -&gt; Infección por el virus de la leucemia de células T humanas 1</w:t>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hsa05168 -&gt; Infección por el virus del herpes simple 1</w:t>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hsa05169 -&gt; Infección por el virus de Epstein-Barr</w:t>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hsa05310 -&gt; Asma</w:t>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hsa05320 -&gt; Enfermedad tiroidea autoinmune</w:t>
      </w:r>
    </w:p>
    <w:p w:rsidR="00000000" w:rsidDel="00000000" w:rsidP="00000000" w:rsidRDefault="00000000" w:rsidRPr="00000000" w14:paraId="000000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hsa05321 -&gt; Enfermedad inflamatoria intestinal</w:t>
      </w:r>
    </w:p>
    <w:p w:rsidR="00000000" w:rsidDel="00000000" w:rsidP="00000000" w:rsidRDefault="00000000" w:rsidRPr="00000000" w14:paraId="000000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hsa05322 -&gt; Lupus eritematoso sistémico</w:t>
      </w:r>
    </w:p>
    <w:p w:rsidR="00000000" w:rsidDel="00000000" w:rsidP="00000000" w:rsidRDefault="00000000" w:rsidRPr="00000000" w14:paraId="000000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hsa05323 -&gt; Artritis Reumatoide</w:t>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hsa05330 -&gt; Rechazo de aloinjerto</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hsa05332 -&gt; Enfermedad de injerto contra huésped</w:t>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2"/>
          <w:highlight w:val="white"/>
        </w:rPr>
      </w:pPr>
      <w:r w:rsidDel="00000000" w:rsidR="00000000" w:rsidRPr="00000000">
        <w:rPr>
          <w:color w:val="202122"/>
          <w:highlight w:val="white"/>
          <w:rtl w:val="0"/>
        </w:rPr>
        <w:t xml:space="preserve">hsa05416 -&gt; Miocarditis viral</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highlight w:val="whit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highlight w:val="white"/>
        </w:rPr>
      </w:pPr>
      <w:hyperlink r:id="rId20">
        <w:r w:rsidDel="00000000" w:rsidR="00000000" w:rsidRPr="00000000">
          <w:rPr>
            <w:color w:val="1155cc"/>
            <w:highlight w:val="white"/>
            <w:u w:val="single"/>
            <w:rtl w:val="0"/>
          </w:rPr>
          <w:t xml:space="preserve">https://www.genome.jp/entry/hsa:3117</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highlight w:val="white"/>
        </w:rPr>
      </w:pPr>
      <w:r w:rsidDel="00000000" w:rsidR="00000000" w:rsidRPr="00000000">
        <w:rPr>
          <w:rtl w:val="0"/>
        </w:rPr>
      </w:r>
    </w:p>
    <w:p w:rsidR="00000000" w:rsidDel="00000000" w:rsidP="00000000" w:rsidRDefault="00000000" w:rsidRPr="00000000" w14:paraId="00000095">
      <w:pPr>
        <w:rPr>
          <w:b w:val="1"/>
          <w:color w:val="202122"/>
          <w:sz w:val="21"/>
          <w:szCs w:val="21"/>
          <w:highlight w:val="white"/>
        </w:rPr>
      </w:pPr>
      <w:r w:rsidDel="00000000" w:rsidR="00000000" w:rsidRPr="00000000">
        <w:rPr>
          <w:b w:val="1"/>
          <w:color w:val="202122"/>
          <w:sz w:val="21"/>
          <w:szCs w:val="21"/>
          <w:highlight w:val="white"/>
          <w:rtl w:val="0"/>
        </w:rPr>
        <w:t xml:space="preserve">g) Entrar en la base de datos de variantes genéticas dbSNP e intentar interpretar o encontrar info sobre alguna variante (reference SNP - rsXXXX) asociada con la patología investigada en su gen de interés. ¿Qué variante es? ¿Hay información sobre la frecuencia que tiene esta variante en la población? ¿Qué grupo étnico parece ser el más afectado? </w:t>
      </w:r>
    </w:p>
    <w:p w:rsidR="00000000" w:rsidDel="00000000" w:rsidP="00000000" w:rsidRDefault="00000000" w:rsidRPr="00000000" w14:paraId="00000096">
      <w:pPr>
        <w:rPr>
          <w:color w:val="202122"/>
          <w:highlight w:val="white"/>
        </w:rPr>
      </w:pPr>
      <w:r w:rsidDel="00000000" w:rsidR="00000000" w:rsidRPr="00000000">
        <w:rPr>
          <w:rtl w:val="0"/>
        </w:rPr>
      </w:r>
    </w:p>
    <w:p w:rsidR="00000000" w:rsidDel="00000000" w:rsidP="00000000" w:rsidRDefault="00000000" w:rsidRPr="00000000" w14:paraId="00000097">
      <w:pPr>
        <w:rPr>
          <w:color w:val="202122"/>
          <w:highlight w:val="white"/>
        </w:rPr>
      </w:pPr>
      <w:r w:rsidDel="00000000" w:rsidR="00000000" w:rsidRPr="00000000">
        <w:rPr>
          <w:color w:val="202122"/>
          <w:highlight w:val="white"/>
          <w:rtl w:val="0"/>
        </w:rPr>
        <w:t xml:space="preserve">Encontramos la variación rs3667 (</w:t>
      </w:r>
      <w:r w:rsidDel="00000000" w:rsidR="00000000" w:rsidRPr="00000000">
        <w:rPr>
          <w:color w:val="202122"/>
          <w:highlight w:val="white"/>
          <w:rtl w:val="0"/>
        </w:rPr>
        <w:t xml:space="preserve">variante de intrón)</w:t>
      </w:r>
      <w:r w:rsidDel="00000000" w:rsidR="00000000" w:rsidRPr="00000000">
        <w:rPr>
          <w:color w:val="202122"/>
          <w:highlight w:val="white"/>
          <w:rtl w:val="0"/>
        </w:rPr>
        <w:t xml:space="preserve">. A continuación mostramos en un gráfico la frecuencia que tiene esta variante en la población:</w:t>
      </w:r>
    </w:p>
    <w:p w:rsidR="00000000" w:rsidDel="00000000" w:rsidP="00000000" w:rsidRDefault="00000000" w:rsidRPr="00000000" w14:paraId="00000098">
      <w:pPr>
        <w:rPr>
          <w:color w:val="2021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-611024</wp:posOffset>
            </wp:positionH>
            <wp:positionV relativeFrom="paragraph">
              <wp:posOffset>114300</wp:posOffset>
            </wp:positionV>
            <wp:extent cx="6950840" cy="267176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950840" cy="2671763"/>
                    </a:xfrm>
                    <a:prstGeom prst="rect"/>
                    <a:ln/>
                  </pic:spPr>
                </pic:pic>
              </a:graphicData>
            </a:graphic>
          </wp:anchor>
        </w:drawing>
      </w:r>
    </w:p>
    <w:p w:rsidR="00000000" w:rsidDel="00000000" w:rsidP="00000000" w:rsidRDefault="00000000" w:rsidRPr="00000000" w14:paraId="00000099">
      <w:pPr>
        <w:rPr>
          <w:color w:val="202122"/>
          <w:highlight w:val="white"/>
        </w:rPr>
      </w:pPr>
      <w:r w:rsidDel="00000000" w:rsidR="00000000" w:rsidRPr="00000000">
        <w:rPr>
          <w:rtl w:val="0"/>
        </w:rPr>
      </w:r>
    </w:p>
    <w:p w:rsidR="00000000" w:rsidDel="00000000" w:rsidP="00000000" w:rsidRDefault="00000000" w:rsidRPr="00000000" w14:paraId="0000009A">
      <w:pPr>
        <w:rPr>
          <w:color w:val="202122"/>
          <w:highlight w:val="white"/>
        </w:rPr>
      </w:pPr>
      <w:hyperlink r:id="rId22">
        <w:r w:rsidDel="00000000" w:rsidR="00000000" w:rsidRPr="00000000">
          <w:rPr>
            <w:color w:val="1155cc"/>
            <w:highlight w:val="white"/>
            <w:u w:val="single"/>
            <w:rtl w:val="0"/>
          </w:rPr>
          <w:t xml:space="preserve">https://www.ncbi.nlm.nih.gov/snp/rs3667#frequency_tab</w:t>
        </w:r>
      </w:hyperlink>
      <w:r w:rsidDel="00000000" w:rsidR="00000000" w:rsidRPr="00000000">
        <w:rPr>
          <w:rtl w:val="0"/>
        </w:rPr>
      </w:r>
    </w:p>
    <w:p w:rsidR="00000000" w:rsidDel="00000000" w:rsidP="00000000" w:rsidRDefault="00000000" w:rsidRPr="00000000" w14:paraId="0000009B">
      <w:pPr>
        <w:rPr>
          <w:color w:val="202122"/>
          <w:highlight w:val="whit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rFonts w:ascii="Roboto" w:cs="Roboto" w:eastAsia="Roboto" w:hAnsi="Roboto"/>
        <w:color w:val="212121"/>
        <w:sz w:val="21"/>
        <w:szCs w:val="21"/>
        <w:u w:val="none"/>
      </w:rPr>
    </w:lvl>
    <w:lvl w:ilvl="1">
      <w:start w:val="1"/>
      <w:numFmt w:val="bullet"/>
      <w:lvlText w:val="○"/>
      <w:lvlJc w:val="left"/>
      <w:pPr>
        <w:ind w:left="2160" w:hanging="360"/>
      </w:pPr>
      <w:rPr>
        <w:rFonts w:ascii="Roboto" w:cs="Roboto" w:eastAsia="Roboto" w:hAnsi="Roboto"/>
        <w:color w:val="212121"/>
        <w:sz w:val="21"/>
        <w:szCs w:val="21"/>
        <w:u w:val="none"/>
      </w:rPr>
    </w:lvl>
    <w:lvl w:ilvl="2">
      <w:start w:val="1"/>
      <w:numFmt w:val="bullet"/>
      <w:lvlText w:val="■"/>
      <w:lvlJc w:val="left"/>
      <w:pPr>
        <w:ind w:left="2880" w:hanging="360"/>
      </w:pPr>
      <w:rPr>
        <w:rFonts w:ascii="Roboto" w:cs="Roboto" w:eastAsia="Roboto" w:hAnsi="Roboto"/>
        <w:color w:val="212121"/>
        <w:sz w:val="21"/>
        <w:szCs w:val="21"/>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nome.jp/entry/hsa:3117" TargetMode="External"/><Relationship Id="rId11" Type="http://schemas.openxmlformats.org/officeDocument/2006/relationships/image" Target="media/image4.png"/><Relationship Id="rId22" Type="http://schemas.openxmlformats.org/officeDocument/2006/relationships/hyperlink" Target="https://www.ncbi.nlm.nih.gov/snp/rs3667#frequency_tab" TargetMode="External"/><Relationship Id="rId10" Type="http://schemas.openxmlformats.org/officeDocument/2006/relationships/hyperlink" Target="https://www.ensembl.org/Homo_sapiens/Gene/Compara_Ortholog?db=core;g=ENSG00000196735;r=6:32637406-32642981;t=ENST00000496318" TargetMode="External"/><Relationship Id="rId21"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hyperlink" Target="https://www.ensembl.org/Homo_sapiens/Gene/Splice?db=core;g=ENSG00000196735;r=6:32637406-32642981;t=ENST0000049631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cbi.nlm.nih.gov/gene/3117/ortholog/?scope=1437010" TargetMode="External"/><Relationship Id="rId15" Type="http://schemas.openxmlformats.org/officeDocument/2006/relationships/image" Target="media/image5.png"/><Relationship Id="rId14" Type="http://schemas.openxmlformats.org/officeDocument/2006/relationships/hyperlink" Target="https://www.ncbi.nlm.nih.gov/datasets/tables/genes/?table_type=transcripts&amp;ids=3117&amp;utm_source=gene&amp;utm_medium=referral&amp;utm_campaign=summary" TargetMode="External"/><Relationship Id="rId17" Type="http://schemas.openxmlformats.org/officeDocument/2006/relationships/image" Target="media/image1.png"/><Relationship Id="rId16" Type="http://schemas.openxmlformats.org/officeDocument/2006/relationships/hyperlink" Target="https://www.ncbi.nlm.nih.gov/gene/3117#interactions" TargetMode="External"/><Relationship Id="rId5" Type="http://schemas.openxmlformats.org/officeDocument/2006/relationships/styles" Target="styles.xml"/><Relationship Id="rId19" Type="http://schemas.openxmlformats.org/officeDocument/2006/relationships/hyperlink" Target="https://www.ncbi.nlm.nih.gov/gene/3117#general-gene-info" TargetMode="External"/><Relationship Id="rId6" Type="http://schemas.openxmlformats.org/officeDocument/2006/relationships/hyperlink" Target="https://www.ncbi.nlm.nih.gov/nuccore/NM_002122.5" TargetMode="External"/><Relationship Id="rId18" Type="http://schemas.openxmlformats.org/officeDocument/2006/relationships/hyperlink" Target="https://thebiogrid.org/109362" TargetMode="External"/><Relationship Id="rId7" Type="http://schemas.openxmlformats.org/officeDocument/2006/relationships/hyperlink" Target="https://www.omim.org/entry/212750" TargetMode="External"/><Relationship Id="rId8" Type="http://schemas.openxmlformats.org/officeDocument/2006/relationships/hyperlink" Target="https://pubmed.ncbi.nlm.nih.gov/2630367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