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Maven Pro" w:cs="Maven Pro" w:eastAsia="Maven Pro" w:hAnsi="Maven Pr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Maven Pro" w:cs="Maven Pro" w:eastAsia="Maven Pro" w:hAnsi="Maven Pr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aven Pro" w:cs="Maven Pro" w:eastAsia="Maven Pro" w:hAnsi="Maven Pro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aven Pro" w:cs="Maven Pro" w:eastAsia="Maven Pro" w:hAnsi="Maven Pro"/>
          <w:color w:val="ff0000"/>
          <w:sz w:val="60"/>
          <w:szCs w:val="60"/>
        </w:rPr>
      </w:pPr>
      <w:r w:rsidDel="00000000" w:rsidR="00000000" w:rsidRPr="00000000">
        <w:rPr>
          <w:rFonts w:ascii="Maven Pro" w:cs="Maven Pro" w:eastAsia="Maven Pro" w:hAnsi="Maven Pro"/>
          <w:color w:val="ff0000"/>
          <w:sz w:val="60"/>
          <w:szCs w:val="60"/>
          <w:rtl w:val="0"/>
        </w:rPr>
        <w:t xml:space="preserve">LIVROS 2019</w:t>
      </w:r>
    </w:p>
    <w:p w:rsidR="00000000" w:rsidDel="00000000" w:rsidP="00000000" w:rsidRDefault="00000000" w:rsidRPr="00000000" w14:paraId="0000000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aven Pro" w:cs="Maven Pro" w:eastAsia="Maven Pro" w:hAnsi="Maven Pro"/>
          <w:color w:val="0000ff"/>
        </w:rPr>
      </w:pPr>
      <w:r w:rsidDel="00000000" w:rsidR="00000000" w:rsidRPr="00000000">
        <w:rPr>
          <w:rFonts w:ascii="Maven Pro" w:cs="Maven Pro" w:eastAsia="Maven Pro" w:hAnsi="Maven Pro"/>
          <w:color w:val="0000ff"/>
          <w:rtl w:val="0"/>
        </w:rPr>
        <w:t xml:space="preserve">CONTABILIDADE PARA NÃO CONTADORES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Maven Pro" w:cs="Maven Pro" w:eastAsia="Maven Pro" w:hAnsi="Maven Pro"/>
          <w:sz w:val="18"/>
          <w:szCs w:val="18"/>
        </w:rPr>
      </w:pPr>
      <w:r w:rsidDel="00000000" w:rsidR="00000000" w:rsidRPr="00000000">
        <w:rPr>
          <w:rFonts w:ascii="Maven Pro" w:cs="Maven Pro" w:eastAsia="Maven Pro" w:hAnsi="Maven Pro"/>
          <w:sz w:val="18"/>
          <w:szCs w:val="18"/>
          <w:rtl w:val="0"/>
        </w:rPr>
        <w:t xml:space="preserve">MARION, IUDICÍBUS.</w:t>
      </w:r>
    </w:p>
    <w:p w:rsidR="00000000" w:rsidDel="00000000" w:rsidP="00000000" w:rsidRDefault="00000000" w:rsidRPr="00000000" w14:paraId="0000002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-1085849</wp:posOffset>
          </wp:positionH>
          <wp:positionV relativeFrom="paragraph">
            <wp:posOffset>-323849</wp:posOffset>
          </wp:positionV>
          <wp:extent cx="2733675" cy="881063"/>
          <wp:effectExtent b="0" l="0" r="0" t="0"/>
          <wp:wrapTopAndBottom distB="114300" distT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33675" cy="881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