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D4AF37"/>
          <w:sz w:val="140"/>
          <w:szCs w:val="140"/>
        </w:rPr>
        <w:t xml:space="preserve">◈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D4AF37"/>
          <w:sz w:val="44"/>
          <w:szCs w:val="44"/>
        </w:rPr>
        <w:t xml:space="preserve">KIT COPRODUÇÃO</w:t>
      </w:r>
    </w:p>
    <w:p>
      <w:pPr>
        <w:spacing w:after="60" w:before="0"/>
        <w:jc w:val="center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72"/>
          <w:szCs w:val="72"/>
        </w:rPr>
        <w:t xml:space="preserve">CHAVE MESTRA</w:t>
      </w:r>
    </w:p>
    <w:p>
      <w:pPr>
        <w:spacing w:after="60" w:before="60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D4AF37"/>
          <w:sz w:val="22"/>
          <w:szCs w:val="22"/>
        </w:rPr>
        <w:t xml:space="preserve">━━━━━━━━━━━━━━━━━━━━━━━━━━━━━━━━━━━━</w:t>
      </w:r>
    </w:p>
    <w:p>
      <w:pPr>
        <w:spacing w:after="22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24"/>
          <w:szCs w:val="24"/>
        </w:rPr>
        <w:t xml:space="preserve">PEÇA 03 — TEMA CHAVE MESTRA</w:t>
      </w:r>
    </w:p>
    <w:p>
      <w:pPr>
        <w:spacing w:after="80" w:before="0"/>
        <w:jc w:val="center"/>
      </w:pPr>
      <w:r>
        <w:rPr>
          <w:rFonts w:ascii="Georgia" w:cs="Georgia" w:eastAsia="Georgia" w:hAnsi="Georgia"/>
          <w:b/>
          <w:bCs/>
          <w:i/>
          <w:iCs/>
          <w:color w:val="555555"/>
          <w:sz w:val="28"/>
          <w:szCs w:val="28"/>
        </w:rPr>
        <w:t xml:space="preserve">O pergaminho digital da marca.</w:t>
      </w:r>
    </w:p>
    <w:p>
      <w:pPr>
        <w:spacing w:after="300" w:before="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666666"/>
          <w:sz w:val="22"/>
          <w:szCs w:val="22"/>
        </w:rPr>
        <w:t xml:space="preserve">Sistema Visual Completo: Tokens, Tipografia, Componentes, Layout e CSS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AAAAAA"/>
          <w:sz w:val="18"/>
          <w:szCs w:val="18"/>
        </w:rPr>
        <w:t xml:space="preserve">Versão 1.0  ·  Março 2026  ·  @olucasgrigo</w:t>
      </w:r>
    </w:p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RASTREADOR DE PROGRESSO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Status do Kit Coprodução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0"/>
        <w:gridCol w:w="2600"/>
        <w:gridCol w:w="4340"/>
        <w:gridCol w:w="1600"/>
      </w:tblGrid>
      <w:tr>
        <w:trPr>
          <w:tblHeader/>
        </w:trPr>
        <w:tc>
          <w:tcPr>
            <w:tcW w:type="dxa" w:w="82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Nº</w:t>
            </w:r>
          </w:p>
        </w:tc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PEÇA</w:t>
            </w:r>
          </w:p>
        </w:tc>
        <w:tc>
          <w:tcPr>
            <w:tcW w:type="dxa" w:w="434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DESCRIÇÃO</w:t>
            </w:r>
          </w:p>
        </w:tc>
        <w:tc>
          <w:tcPr>
            <w:tcW w:type="dxa" w:w="1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2"/>
                <w:szCs w:val="22"/>
              </w:rPr>
              <w:t xml:space="preserve">01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Estrutura Física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Blueprint Drive + Claude Projects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2"/>
                <w:szCs w:val="22"/>
              </w:rPr>
              <w:t xml:space="preserve">02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Chaveiro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Meta-plugin de manutenção do sistema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2"/>
                <w:szCs w:val="22"/>
              </w:rPr>
              <w:t xml:space="preserve">03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Tema Chave Mestra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Design system visual — este documento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0FFF0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2A"/>
                <w:sz w:val="17"/>
                <w:szCs w:val="17"/>
              </w:rPr>
              <w:t xml:space="preserve">✅ PRONTO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2"/>
                <w:szCs w:val="22"/>
              </w:rPr>
              <w:t xml:space="preserve">04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Portal do Terreno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SKILL.md de análise estrutural de mercado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◻ PENDENTE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2"/>
                <w:szCs w:val="22"/>
              </w:rPr>
              <w:t xml:space="preserve">05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Portal da Escala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SKILL.md de gestão, métricas e alavancas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◻ PENDENTE</w:t>
            </w:r>
          </w:p>
        </w:tc>
      </w:tr>
      <w:tr>
        <w:tc>
          <w:tcPr>
            <w:tcW w:type="dxa" w:w="82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/>
              <w:jc w:val="center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D4AF37"/>
                <w:sz w:val="22"/>
                <w:szCs w:val="22"/>
              </w:rPr>
              <w:t xml:space="preserve">06</w:t>
            </w:r>
          </w:p>
        </w:tc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A1A1A"/>
                <w:sz w:val="22"/>
                <w:szCs w:val="22"/>
              </w:rPr>
              <w:t xml:space="preserve">Arsenal Completo</w:t>
            </w:r>
          </w:p>
        </w:tc>
        <w:tc>
          <w:tcPr>
            <w:tcW w:type="dxa" w:w="4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Configuração final dos 6 Projetos Claude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AAAAAA"/>
                <w:sz w:val="17"/>
                <w:szCs w:val="17"/>
              </w:rPr>
              <w:t xml:space="preserve">◻ PENDENTE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01  ·  VISÃO GERAL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O Tema Chave Mestra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 output do Kit Coprodução — documentos, interfaces, ferramentas, templates — fala com uma única voz visual. O Tema Chave Mestra é o sistema que garante isso: uma linguagem visual coesa que transforma qualquer output em pergaminho digital.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O que está incluído nesta Peça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ARQUIVO</w:t>
            </w:r>
          </w:p>
        </w:tc>
        <w:tc>
          <w:tcPr>
            <w:tcW w:type="dxa" w:w="6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TEMA-CHAVE-MESTRA.html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Demo interativo completo de todos os componentes — abrir no navegador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tema-chave-mestra.css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CSS standalone para importar em qualquer projeto HTML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PECA-03-TEMA-CHAVE-MESTRA.docx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Este documento — referência completa do sistema visual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Filosofia do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2"/>
                <w:szCs w:val="22"/>
              </w:rPr>
              <w:t xml:space="preserve">Vintage de luxo + precisão técnica.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Ouro imperial sobre escuridão. Tipografia clássica com estrutura moderna. A autoridade do antigo com a funcionalidade do presente.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Cada elemento carrega intenção: as bordas douradas nos cantos dos cards são selos de autenticidade. A textura de grão é o toque do tempo. A vinheta nas bordas é o foco do mestre.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02  ·  TOKENS DE DESIGN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Variáveis CSS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Todas as decisões de design vivem em variáveis CSS no bloco :root. Ao importar o CSS, essas variáveis ficam disponíveis em todo o projeto. Nunca use valores crus — sempre use os tokens.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Ouro Imperial — a cor central da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VARIÁVEL</w:t>
            </w:r>
          </w:p>
        </w:tc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VALOR</w:t>
            </w:r>
          </w:p>
        </w:tc>
        <w:tc>
          <w:tcPr>
            <w:tcW w:type="dxa" w:w="4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QUANDO USAR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--gold-bright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#f0d060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Destaques máximos, glow em hover, numerais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--gold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#d4af37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Cor principal da marca — títulos, ícones, bordas ativas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--gold-dim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#b8922a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Subtítulos dourados, labels, glossário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--gold-deep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#8b6914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Ornamentos, divisores, bordas de cantos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--gold-ghost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rgba(212,175,55,0.12)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Fundos de callout, seleção de texto, badge bg</w:t>
            </w:r>
          </w:p>
        </w:tc>
      </w:tr>
      <w:tr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--gold-glow</w:t>
            </w:r>
          </w:p>
        </w:tc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rgba(212,175,55,0.35)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Sombra de glow em elementos com box-shadow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Escuros — a fundação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VALOR</w:t>
            </w:r>
          </w:p>
        </w:tc>
        <w:tc>
          <w:tcPr>
            <w:tcW w:type="dxa" w:w="5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--void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#0a0a08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Fundo global do body — o mais escuro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--dark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#141310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Fundo alternativo em seções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--charcoal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#1e1c17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Cards padrão, fundos de container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--ink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#2e2a20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Fundo de header de tabela, fundos internos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--ash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#6a6258</w:t>
            </w:r>
          </w:p>
        </w:tc>
        <w:tc>
          <w:tcPr>
            <w:tcW w:type="dxa" w:w="5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Texto secundário, labels inativos, placeholders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Pergaminho — os tons claros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Usados em fundos invertidos (cm-scroll), textos sobre escuro, e como cor de corpo do texto.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rPr>
          <w:tblHeader/>
        </w:trPr>
        <w:tc>
          <w:tcPr>
            <w:tcW w:type="dxa" w:w="2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VARIÁVEL</w:t>
            </w:r>
          </w:p>
        </w:tc>
        <w:tc>
          <w:tcPr>
            <w:tcW w:type="dxa" w:w="1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VALOR</w:t>
            </w:r>
          </w:p>
        </w:tc>
        <w:tc>
          <w:tcPr>
            <w:tcW w:type="dxa" w:w="4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--parchment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#f5edd6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Fundo de blocos de pergaminho (cm-scroll)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--parchment-dim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#ede0c0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Cor padrão do corpo de texto (.cm-body)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--parchment-deep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#d4c4a0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Texto tertiary, metadados, rodapés</w:t>
            </w:r>
          </w:p>
        </w:tc>
      </w:tr>
      <w:tr>
        <w:tc>
          <w:tcPr>
            <w:tcW w:type="dxa" w:w="2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19"/>
                <w:szCs w:val="19"/>
              </w:rPr>
              <w:t xml:space="preserve">--cream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#faf6ec</w:t>
            </w:r>
          </w:p>
        </w:tc>
        <w:tc>
          <w:tcPr>
            <w:tcW w:type="dxa" w:w="4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Backgrounds de callout e boxes de destaque (cr)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03  ·  TIPOGRAFIA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Sistema de Fontes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Quatro famílias tipográficas formam o sistema. Cada uma tem papel específico e não pode ser substituída por fontes genéricas — isso é lei do glossário.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600"/>
        <w:gridCol w:w="3560"/>
      </w:tblGrid>
      <w:tr>
        <w:trPr>
          <w:tblHeader/>
        </w:trPr>
        <w:tc>
          <w:tcPr>
            <w:tcW w:type="dxa" w:w="1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VARIÁVEL</w:t>
            </w:r>
          </w:p>
        </w:tc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FONTE</w:t>
            </w:r>
          </w:p>
        </w:tc>
        <w:tc>
          <w:tcPr>
            <w:tcW w:type="dxa" w:w="16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PESO</w:t>
            </w:r>
          </w:p>
        </w:tc>
        <w:tc>
          <w:tcPr>
            <w:tcW w:type="dxa" w:w="35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PAPEL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--font-title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Cinzel Decorative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400, 700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Display, Hero, Logo — o mais ornamental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--font-heading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Cinzel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400, 600, 700, 900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Todos os títulos H1–H3, labels, botões, nav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--font-body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IM Fell English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Regular, Italic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Corpo de texto — leitura longa, parágrafos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--font-prose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IM Fell DW Pica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Regular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Prosa editorial, citações, blocos de texto denso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--font-code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D2D2D"/>
                <w:sz w:val="19"/>
                <w:szCs w:val="19"/>
              </w:rPr>
              <w:t xml:space="preserve">Courier Prime</w:t>
            </w:r>
          </w:p>
        </w:tc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400, 700, Italic</w:t>
            </w:r>
          </w:p>
        </w:tc>
        <w:tc>
          <w:tcPr>
            <w:tcW w:type="dxa" w:w="35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Terminal, código, referências de arquivo, IDs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Classes de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CLASSE</w:t>
            </w:r>
          </w:p>
        </w:tc>
        <w:tc>
          <w:tcPr>
            <w:tcW w:type="dxa" w:w="28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ESPECIFICAÇÃO</w:t>
            </w:r>
          </w:p>
        </w:tc>
        <w:tc>
          <w:tcPr>
            <w:tcW w:type="dxa" w:w="43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QUANDO USAR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.cm-display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Cinzel Decorative 700, clamp(2–4rem)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Nome da marca, headline de hero, capa de peça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.cm-h1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Cinzel 600, clamp(1.6–2.4rem)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Título principal de seção ou página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.cm-h2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Cinzel 400 uppercase, clamp(1.2–1.7rem)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Subtítulo de seção, nome de módulo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.cm-h3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Cinzel 600 uppercase small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Subtítulo terciário, rótulo de protocolo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.cm-label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Cinzel 600 uppercase, 0.65rem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Metadados, numeração, categorias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.cm-body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IM Fell English, 1rem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Parágrafos, descrições, corpo principal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.cm-italic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IM Fell English italic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Citações, ênfases editoriais</w:t>
            </w:r>
          </w:p>
        </w:tc>
      </w:tr>
      <w:t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.cm-code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Courier Prime, 0.85rem</w:t>
            </w:r>
          </w:p>
        </w:tc>
        <w:tc>
          <w:tcPr>
            <w:tcW w:type="dxa" w:w="4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Nomes de arquivo, referências, IDs de plugin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LINK DO GOOGLE FONTS (adicionar ao HEAD de qualquer HTML)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F4FB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&lt;link rel="preconnect" href="https://fonts.googleapis.com"&gt;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&lt;link href="https://fonts.googleapis.com/css2?family=Cinzel:wght@400;600;700;900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&amp;family=Cinzel+Decorative:wght@400;700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&amp;family=IM+Fell+English:ital@0;1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&amp;family=IM+Fell+DW+Pica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&amp;family=Courier+Prime:ital,wght@0,400;0,700;1,400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&amp;display=swap" rel="stylesheet"&gt;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04  ·  COMPONENTES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Catálogo de Classes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Todos os componentes prontos para uso. Copiar a classe e aplicar ao elemento HTML. O visual completo de cada componente está no arquivo TEMA-CHAVE-MESTRA.html — abrir no navegador para referência visual.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Cards e Containers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CLASSE</w:t>
            </w:r>
          </w:p>
        </w:tc>
        <w:tc>
          <w:tcPr>
            <w:tcW w:type="dxa" w:w="6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.cm-card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Card escuro com bordas douradas nos cantos (efeito selo). Hover com glow dourado.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.cm-card-featured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Card premium com gradiente interno e sombra dourada. Para destaques especiais.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.cm-scroll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Bloco com fundo de pergaminho claro (#f5edd6). Para conteúdo invertido.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.cm-terminal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Container de código/terminal com estilo de linha de comando.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.cm-callout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Destaque lateral com borda esquerda dourada. Variações: -blood, -emerald.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Botões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CLASSE</w:t>
            </w:r>
          </w:p>
        </w:tc>
        <w:tc>
          <w:tcPr>
            <w:tcW w:type="dxa" w:w="6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.cm-btn .cm-btn-primary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CTA principal — fundo dourado sólido, texto preto. Ação mais importante da página.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.cm-btn .cm-btn-outline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Ação secundária — contorno dourado, fundo transparente.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.cm-btn .cm-btn-ghost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Ação terciária — muito sutil, borda quase invisível.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.cm-btn .cm-btn-blood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Ação destrutiva ou crítica — fundo vermelho escuro.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Badges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CLASSE</w:t>
            </w:r>
          </w:p>
        </w:tc>
        <w:tc>
          <w:tcPr>
            <w:tcW w:type="dxa" w:w="6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CONTEXTO DE USO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.cm-badge-gold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Camada ativa, plugin pronto, destaque positivo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.cm-badge-blood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Urgente, atenção, pendente crítico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.cm-badge-silver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Status neutro, informação secundária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.cm-badge-dark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Metadados, data, categoria discreta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.cm-badge-scroll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Conteúdo de pergaminho, referências editoriais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Ornamentos e Layouts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CLASSE / ELEMENTO</w:t>
            </w:r>
          </w:p>
        </w:tc>
        <w:tc>
          <w:tcPr>
            <w:tcW w:type="dxa" w:w="6960"/>
            <w:tcBorders>
              <w:top w:val="single" w:color="D4AF37" w:sz="4"/>
              <w:left w:val="single" w:color="D4AF37" w:sz="4"/>
              <w:bottom w:val="single" w:color="D4AF37" w:sz="4"/>
              <w:right w:val="single" w:color="D4AF37" w:sz="4"/>
            </w:tcBorders>
            <w:shd w:fill="1A1A1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19"/>
                <w:szCs w:val="19"/>
              </w:rPr>
              <w:t xml:space="preserve">FUNÇÃO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.cm-ornament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Linha decorativa com texto central e raias em gradiente dourado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.cm-divider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Linha horizontal fina com gradiente de ouro (transparente &gt; ouro &gt; transparente)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.cm-seal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Círculo-medalhão ornamental com dupla borda. Para números ou ícones de destaque.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.cm-numeral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Número romano gigante decorativo, cor dourada em 15% de opacidade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.cm-grid-2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Grid de 2 colunas responsivo — colapsa para 1 col em mobile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.cm-grid-3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Grid de 3 colunas responsivo — colapsa para 1 col em mobile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.cm-container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Container central max-width 1100px com padding lateral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.cm-navbar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Barra de navegação sticky com glassmorphism e borda dourada inferior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C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B6914"/>
                <w:sz w:val="19"/>
                <w:szCs w:val="19"/>
              </w:rPr>
              <w:t xml:space="preserve">.cm-hero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Seção hero com grid de perspectiva dourado e glow central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05  ·  COMO USAR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Integração em Projetos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Para aplicar o Tema Chave Mestra em qualquer HTML novo, siga os três passos abaixo. O processo inteiro leva menos de 5 minutos.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PASSO 1 — Adicionar fontes ao HEAD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F4FB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&lt;link rel="preconnect" href="https://fonts.googleapis.com"&gt;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&lt;link href="https://fonts.googleapis.com/css2?family=Cinzel:wght@400;600;700;900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&amp;family=Cinzel+Decorative:wght@400;700&amp;family=IM+Fell+English:ital@0;1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&amp;family=Courier+Prime:ital,wght@0,400;0,700;1,400&amp;display=swap" rel="stylesheet"&gt;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PASSO 2 — Importar o CSS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F4FB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&lt;!-- Opção A: Link para arquivo externo --&gt;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&lt;link rel="stylesheet" href="tema-chave-mestra.css"&gt;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&lt;!-- Opção B: Para Artifacts ou HTML auto-contido, 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 copiar o bloco :root + classes necessárias diretamente no &lt;style&gt; --&gt;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8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8B6914"/>
          <w:sz w:val="22"/>
          <w:szCs w:val="22"/>
        </w:rPr>
        <w:t xml:space="preserve">PASSO 3 — Usar as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3"/>
              <w:left w:val="single" w:color="D4AF37" w:sz="3"/>
              <w:bottom w:val="single" w:color="D4AF37" w:sz="3"/>
              <w:right w:val="single" w:color="D4AF37" w:sz="3"/>
            </w:tcBorders>
            <w:shd w:fill="F4FBF4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&lt;!-- Estrutura básica de uma página Chave Mestra --&gt;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&lt;body&gt;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&lt;nav class="cm-navbar"&gt;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&lt;div class="cm-navbar-inner"&gt;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  &lt;a class="cm-logo"&gt;⚙ Chave Mestra&lt;/a&gt;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&lt;/div&gt;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&lt;/nav&gt;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&lt;section class="cm-hero"&gt;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&lt;h1 class="cm-display"&gt;Título Principal&lt;/h1&gt;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&lt;p class="cm-body"&gt;Subtítulo ou descrição.&lt;/p&gt;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&lt;button class="cm-btn cm-btn-primary"&gt;Ação Principal&lt;/button&gt;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&lt;/section&gt;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/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&lt;div class="cm-container"&gt;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&lt;section class="cm-section"&gt;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  &lt;h2 class="cm-h1"&gt;Seção&lt;/h2&gt;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  &lt;div class="cm-grid-3"&gt;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    &lt;div class="cm-card"&gt;...&lt;/div&gt;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    &lt;div class="cm-card"&gt;...&lt;/div&gt;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    &lt;div class="cm-card"&gt;...&lt;/div&gt;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  &lt;/div&gt;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  &lt;/section&gt;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  &lt;/div&gt;</w:t>
            </w:r>
          </w:p>
          <w:p>
            <w:pPr>
              <w:spacing w:after="30" w:before="30"/>
              <w:ind w:left="0"/>
            </w:pPr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1A5C2A"/>
                <w:sz w:val="19"/>
                <w:szCs w:val="19"/>
              </w:rPr>
              <w:t xml:space="preserve">&lt;/body&gt;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120" w:before="280"/>
      </w:pPr>
      <w:r>
        <w:rPr>
          <w:rFonts w:ascii="Georgia" w:cs="Georgia" w:eastAsia="Georgia" w:hAnsi="Georgia"/>
          <w:b/>
          <w:bCs/>
          <w:i w:val="false"/>
          <w:iCs w:val="false"/>
          <w:color w:val="2D2D2D"/>
          <w:sz w:val="28"/>
          <w:szCs w:val="28"/>
        </w:rPr>
        <w:t xml:space="preserve">Regras de Uso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F5F0E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1"/>
                <w:szCs w:val="21"/>
              </w:rPr>
              <w:t xml:space="preserve">Nunca use valores de cor crus.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Sempre use as variáveis CSS (--gold, --charcoal, etc.). Isso garante consistência entre todos os outputs.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1"/>
                <w:szCs w:val="21"/>
              </w:rPr>
              <w:t xml:space="preserve">Nunca substitua as fontes.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Cinzel é Cinzel. IM Fell English é IM Fell English. Não use alternativas 'parecidas' — a identidade da marca depende dessas escolhas específicas.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1"/>
                <w:szCs w:val="21"/>
              </w:rPr>
              <w:t xml:space="preserve">Sobre fundo escuro, texto sempre em parchment.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Use --parchment-dim para corpo e --parchment para títulos. Nunca branco puro (#FFFFFF) sobre escuro — o contraste é excessivo e quebra a estética.</w:t>
            </w:r>
          </w:p>
        </w:tc>
      </w:tr>
    </w:tbl>
    <w:p>
      <w:pPr>
        <w:spacing w:after="0" w:before="0"/>
      </w:pPr>
      <w:r>
        <w:br w:type="page"/>
      </w:r>
    </w:p>
    <w:p>
      <w:pPr>
        <w:pBdr>
          <w:bottom w:val="single" w:color="D4AF37" w:sz="2" w:space="1"/>
        </w:pBdr>
        <w:spacing w:after="80" w:before="400"/>
      </w:pPr>
      <w:r>
        <w:rPr>
          <w:rFonts w:ascii="Arial" w:cs="Arial" w:eastAsia="Arial" w:hAnsi="Arial"/>
          <w:b/>
          <w:bCs/>
          <w:i w:val="false"/>
          <w:iCs w:val="false"/>
          <w:color w:val="D4AF37"/>
          <w:sz w:val="15"/>
          <w:szCs w:val="15"/>
        </w:rPr>
        <w:t xml:space="preserve">SEÇÃO 06  ·  PRÓXIMOS PASSOS</w:t>
      </w:r>
    </w:p>
    <w:p>
      <w:pPr>
        <w:pBdr>
          <w:bottom w:val="single" w:color="D4AF37" w:sz="8" w:space="2"/>
        </w:pBdr>
        <w:spacing w:after="200" w:before="200"/>
      </w:pPr>
      <w:r>
        <w:rPr>
          <w:rFonts w:ascii="Georgia" w:cs="Georgia" w:eastAsia="Georgia" w:hAnsi="Georgia"/>
          <w:b/>
          <w:bCs/>
          <w:i w:val="false"/>
          <w:iCs w:val="false"/>
          <w:color w:val="1A1A1A"/>
          <w:sz w:val="36"/>
          <w:szCs w:val="36"/>
        </w:rPr>
        <w:t xml:space="preserve">O que vem depois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4AF37" w:sz="6"/>
              <w:left w:val="single" w:color="D4AF37" w:sz="6"/>
              <w:bottom w:val="single" w:color="D4AF37" w:sz="6"/>
              <w:right w:val="single" w:color="D4AF37" w:sz="6"/>
            </w:tcBorders>
            <w:shd w:fill="1A1A1A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D4AF37"/>
                <w:sz w:val="26"/>
                <w:szCs w:val="26"/>
              </w:rPr>
              <w:t xml:space="preserve">PEÇA 04 — Portal do Terreno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888"/>
                <w:sz w:val="20"/>
                <w:szCs w:val="20"/>
              </w:rPr>
              <w:t xml:space="preserve">SKILL.md de análise estrutural de mercado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CCCC"/>
                <w:sz w:val="21"/>
                <w:szCs w:val="21"/>
              </w:rPr>
              <w:t xml:space="preserve">O Portal do Terreno é a camada racional e estrutural do diagnóstico. Enquanto o SZC (Plugin 02) captura o zeitgeist filosófico e emocional do nicho, o Portal do Terreno mapeia a anatomia objetiva do mercado: concorrentes, canais, ofertas existentes, mecanismos de distribuição e brechas exploráveis.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4AF37"/>
                <w:sz w:val="20"/>
                <w:szCs w:val="20"/>
              </w:rPr>
              <w:t xml:space="preserve">Frameworks base: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→ Análise de 4 Ps (Produto, Preço, Praça, Promoção) adaptada a infoprodutos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→ Mapeamento de Players (Autoridades, Emergentes, Comodities)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→ Diagnóstico de Canal (qual plataforma domina, qual está subexplorada)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→ Análise de Oferta Prevalente (o que todo mundo vende, pelo que, como)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→ Detecção de Brechas (o que ninguém está fazendo direito)</w:t>
            </w:r>
          </w:p>
          <w:p>
            <w:r>
              <w:rPr>
                <w:rFonts w:ascii="Courier New" w:cs="Courier New" w:eastAsia="Courier New" w:hAnsi="Courier New"/>
                <w:b w:val="false"/>
                <w:bCs w:val="false"/>
                <w:i w:val="false"/>
                <w:iCs w:val="false"/>
                <w:color w:val="88DDAA"/>
                <w:sz w:val="19"/>
                <w:szCs w:val="19"/>
              </w:rPr>
              <w:t xml:space="preserve">→ Integração com SZC (onde o racional encontra o simbólico)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Bdr>
          <w:bottom w:val="single" w:color="D4AF37" w:sz="6" w:space="1"/>
        </w:pBd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555555"/>
          <w:sz w:val="20"/>
          <w:szCs w:val="20"/>
        </w:rPr>
        <w:t xml:space="preserve">Com 3 peças entregues, o alicerce do sistema está construído.</w:t>
      </w:r>
    </w:p>
    <w:p>
      <w:pPr>
        <w:spacing w:after="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9"/>
          <w:szCs w:val="19"/>
        </w:rPr>
        <w:t xml:space="preserve">Fundação física + Chaveiro (guardião) + Tema (linguagem visual) = base pronta.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AF37" w:sz="2" w:space="1"/>
      </w:pBdr>
      <w:spacing w:before="12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AAAAAA"/>
        <w:sz w:val="16"/>
        <w:szCs w:val="16"/>
      </w:rPr>
      <w:t xml:space="preserve">Kit Coprodução Chave Mestra  ·  @olucasgrigo  ·  Peça 03 — Tema Chave Mestra  ·  Pág. </w:t>
    </w:r>
    <w:r>
      <w:rPr>
        <w:rFonts w:ascii="Arial" w:cs="Arial" w:eastAsia="Arial" w:hAnsi="Arial"/>
        <w:color w:val="D4AF3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2026-03-05T19:37:06.988Z</dcterms:created>
  <dcterms:modified xsi:type="dcterms:W3CDTF">2026-03-05T19:37:06.989Z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