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Farol — exemplo de GDD</w:t>
      </w:r>
    </w:p>
    <w:p>
      <w:pPr>
        <w:pStyle w:val="Chapter"/>
      </w:pPr>
      <w:r>
        <w:t xml:space="preserve">Parte 1 — Visão</w:t>
      </w:r>
    </w:p>
    <w:p>
      <w:pPr>
        <w:pStyle w:val="Heading1"/>
      </w:pPr>
      <w:r>
        <w:t xml:space="preserve">Resumo do jogo</w:t>
      </w:r>
    </w:p>
    <w:p>
      <w:r>
        <w:rPr>
          <w:sz w:val="28"/>
        </w:rPr>
        <w:t xml:space="preserve">"Farol" é um jogo de quebra-cabeça em que o jogador cuida de um farol numa ilha e guia barcos até o porto com feixes de luz.</w:t>
      </w:r>
    </w:p>
    <w:p>
      <w:r>
        <w:rPr>
          <w:b/>
        </w:rPr>
        <w:t xml:space="preserve">Ficha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</w:tcPr>
          <w:p>
            <w:r>
              <w:t xml:space="preserve">Gênero</w:t>
            </w:r>
          </w:p>
        </w:tc>
        <w:tc>
          <w:tcPr>
            <w:tcW w:w="4500" w:type="dxa"/>
            <w:shd w:val="clear" w:color="auto" w:fill="F2F2F2"/>
          </w:tcPr>
          <w:p>
            <w:pPr>
              <w:jc w:val="right"/>
            </w:pPr>
            <w:r>
              <w:t xml:space="preserve">Quebra-cabeça</w:t>
            </w:r>
          </w:p>
        </w:tc>
      </w:tr>
      <w:tr>
        <w:tc>
          <w:tcPr>
            <w:tcW w:w="4500" w:type="dxa"/>
          </w:tcPr>
          <w:p>
            <w:r>
              <w:t xml:space="preserve">Plataformas</w:t>
            </w:r>
          </w:p>
        </w:tc>
        <w:tc>
          <w:tcPr>
            <w:tcW w:w="4500" w:type="dxa"/>
          </w:tcPr>
          <w:p>
            <w:pPr>
              <w:jc w:val="right"/>
            </w:pPr>
            <w:r>
              <w:t xml:space="preserve">PC e celular</w:t>
            </w:r>
          </w:p>
        </w:tc>
      </w:tr>
      <w:tr>
        <w:tc>
          <w:tcPr>
            <w:tcW w:w="4500" w:type="dxa"/>
          </w:tcPr>
          <w:p>
            <w:r>
              <w:t xml:space="preserve">Público</w:t>
            </w:r>
          </w:p>
        </w:tc>
        <w:tc>
          <w:tcPr>
            <w:tcW w:w="4500" w:type="dxa"/>
          </w:tcPr>
          <w:p>
            <w:pPr>
              <w:jc w:val="right"/>
            </w:pPr>
            <w:r>
              <w:t xml:space="preserve">A partir de 10 anos</w:t>
            </w:r>
          </w:p>
        </w:tc>
      </w:tr>
      <w:tr>
        <w:tc>
          <w:tcPr>
            <w:tcW w:w="4500" w:type="dxa"/>
          </w:tcPr>
          <w:p>
            <w:r>
              <w:t xml:space="preserve">Sessão</w:t>
            </w:r>
          </w:p>
        </w:tc>
        <w:tc>
          <w:tcPr>
            <w:tcW w:w="4500" w:type="dxa"/>
          </w:tcPr>
          <w:p>
            <w:pPr>
              <w:jc w:val="right"/>
            </w:pPr>
            <w:r>
              <w:t xml:space="preserve">10 a 20 minutos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Pilares</w:t>
      </w:r>
    </w:p>
    <w:p>
      <w:pPr>
        <w:ind w:left="360"/>
      </w:pPr>
      <w:r>
        <w:t xml:space="preserve">• Luz é a única ferramenta: refletir, dividir e bloquear</w:t>
      </w:r>
    </w:p>
    <w:p>
      <w:pPr>
        <w:ind w:left="360"/>
      </w:pPr>
      <w:r>
        <w:t xml:space="preserve">→ Cada ilha ensina uma ideia nova</w:t>
      </w:r>
    </w:p>
    <w:p>
      <w:pPr>
        <w:ind w:left="360"/>
      </w:pPr>
      <w:r>
        <w:t xml:space="preserve">✓ Sem pressa: nenhum desafio depende de tempo</w:t>
      </w:r>
    </w:p>
    <w:p>
      <w:r>
        <w:rPr>
          <w:b/>
          <w:color w:val="0B5CAD"/>
          <w:sz w:val="19"/>
        </w:rPr>
        <w:t xml:space="preserve">? DÚVIDA</w:t>
      </w:r>
    </w:p>
    <w:p>
      <w:pPr>
        <w:ind w:left="360"/>
      </w:pPr>
      <w:r>
        <w:rPr>
          <w:i/>
        </w:rPr>
        <w:t xml:space="preserve">Observação: O modo noturno ainda não tem data.</w:t>
      </w:r>
    </w:p>
    <w:p>
      <w:pPr>
        <w:jc w:val="center"/>
      </w:pPr>
      <w:r>
        <w:drawing>
          <wp:inline distT="0" distB="0" distL="0" distR="0">
            <wp:extent cx="5486400" cy="3086100"/>
            <wp:docPr id="1" name="Imagem 1"/>
            <a:graphic>
              <a:graphicData uri="http://schemas.openxmlformats.org/drawingml/2006/picture">
                <pic:pic>
                  <pic:nvPicPr>
                    <pic:cNvPr id="1" name="imagem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Arte da ilha inicial</w:t>
      </w:r>
    </w:p>
    <w:p>
      <w:pPr>
        <w:pStyle w:val="Heading1"/>
      </w:pPr>
      <w:r>
        <w:t xml:space="preserve">Mecânicas</w:t>
      </w:r>
    </w:p>
    <w:p>
      <w:r>
        <w:t xml:space="preserve">O feixe sai do farol em linha reta.</w:t>
      </w:r>
      <w:r>
        <w:br/>
        <w:t xml:space="preserve">Espelhos mudam a direção em 90°; prismas dividem o feixe em dois.</w:t>
      </w:r>
    </w:p>
    <w:p>
      <w:pPr>
        <w:pStyle w:val="Heading2"/>
      </w:pPr>
      <w:r>
        <w:t xml:space="preserve">Peças</w:t>
      </w:r>
    </w:p>
    <w:p>
      <w:pPr>
        <w:ind w:left="360"/>
      </w:pPr>
      <w:r>
        <w:t xml:space="preserve">• Espelho</w:t>
      </w:r>
    </w:p>
    <w:p>
      <w:pPr>
        <w:ind w:left="360"/>
      </w:pPr>
      <w:r>
        <w:t xml:space="preserve">• Prisma</w:t>
      </w:r>
    </w:p>
    <w:p>
      <w:pPr>
        <w:pStyle w:val="Heading3"/>
      </w:pPr>
      <w:r>
        <w:t xml:space="preserve">Peças especiais (a partir da ilha 3)</w:t>
      </w:r>
    </w:p>
    <w:p>
      <w:pPr>
        <w:ind w:left="360"/>
      </w:pPr>
      <w:r>
        <w:t xml:space="preserve">★ Lente: aumenta o alcance</w:t>
      </w:r>
    </w:p>
    <w:p>
      <w:pPr>
        <w:ind w:left="360"/>
      </w:pPr>
      <w:r>
        <w:t xml:space="preserve">! Nuvem: bloqueia o feixe por alguns turnos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Controles no PC: mouse para girar as peças, roda para trocar de peça.</w:t>
            </w:r>
          </w:p>
        </w:tc>
        <w:tc>
          <w:tcPr>
            <w:tcW w:w="4500" w:type="dxa"/>
          </w:tcPr>
          <w:p>
            <w:r>
              <w:t xml:space="preserve">Controles no celular: toque para girar, arrastar para mover.</w:t>
            </w:r>
          </w:p>
        </w:tc>
      </w:tr>
    </w:tbl>
    <w:p>
      <w:r>
        <w:t xml:space="preserve"/>
      </w:r>
    </w:p>
    <w:p>
      <w:r>
        <w:rPr>
          <w:i/>
        </w:rPr>
        <w:t xml:space="preserve">▶ [Vídeo: feixe.webm]</w:t>
      </w:r>
    </w:p>
    <w:p>
      <w:r>
        <w:rPr>
          <w:i/>
        </w:rPr>
        <w:t xml:space="preserve">O feixe girando (protótipo)</w:t>
      </w:r>
    </w:p>
    <w:p>
      <w:r>
        <w:rPr>
          <w:b/>
          <w:color w:val="666666"/>
          <w:sz w:val="19"/>
        </w:rPr>
        <w:t xml:space="preserve">🔒 SPOILER</w:t>
      </w:r>
    </w:p>
    <w:p>
      <w:pPr>
        <w:ind w:left="360"/>
      </w:pPr>
      <w:r>
        <w:t xml:space="preserve">• O final da campanha revela quem acendeu o farol pela primeira vez.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color w:val="0B5CAD"/>
              </w:rPr>
              <w:t xml:space="preserve">Tom visual: noite azul, luz amarela, traços simples.</w:t>
            </w:r>
          </w:p>
        </w:tc>
        <w:tc>
          <w:tcPr>
            <w:tcW w:w="4500" w:type="dxa"/>
          </w:tcPr>
          <w:p>
            <w:r>
              <w:rPr>
                <w:rFonts w:ascii="Georgia" w:hAnsi="Georgia" w:cs="Georgia"/>
              </w:rPr>
              <w:t xml:space="preserve">Tom sonoro: ondas, vento e um piano calmo.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Economia</w:t>
      </w:r>
    </w:p>
    <w:p>
      <w:r>
        <w:rPr>
          <w:b/>
        </w:rPr>
        <w:t xml:space="preserve">Loja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3000" w:type="dxa"/>
            <w:shd w:val="clear" w:color="auto" w:fill="F2F2F2"/>
          </w:tcPr>
          <w:p>
            <w:pPr>
              <w:jc w:val="right"/>
            </w:pPr>
            <w:r>
              <w:rPr>
                <w:b/>
              </w:rPr>
              <w:t xml:space="preserve">Preço</w:t>
            </w:r>
          </w:p>
        </w:tc>
        <w:tc>
          <w:tcPr>
            <w:tcW w:w="3000" w:type="dxa"/>
            <w:shd w:val="clear" w:color="auto" w:fill="F2F2F2"/>
          </w:tcPr>
          <w:p>
            <w:pPr>
              <w:jc w:val="right"/>
            </w:pPr>
            <w:r>
              <w:rPr>
                <w:b/>
              </w:rPr>
              <w:t xml:space="preserve">Desconto</w:t>
            </w:r>
          </w:p>
        </w:tc>
      </w:tr>
      <w:tr>
        <w:tc>
          <w:tcPr>
            <w:tcW w:w="3000" w:type="dxa"/>
          </w:tcPr>
          <w:p>
            <w:r>
              <w:t xml:space="preserve">Espelho dourado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 xml:space="preserve">$2,99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 xml:space="preserve">0%</w:t>
            </w:r>
          </w:p>
        </w:tc>
      </w:tr>
      <w:tr>
        <w:tc>
          <w:tcPr>
            <w:tcW w:w="3000" w:type="dxa"/>
          </w:tcPr>
          <w:p>
            <w:r>
              <w:t xml:space="preserve">Pacote de ilhas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 xml:space="preserve">$4,99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 xml:space="preserve">10%</w:t>
            </w:r>
          </w:p>
        </w:tc>
      </w:tr>
      <w:tr>
        <w:tc>
          <w:tcPr>
            <w:tcW w:w="3000" w:type="dxa"/>
          </w:tcPr>
          <w:p>
            <w:r>
              <w:t xml:space="preserve">Tema noturno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 xml:space="preserve">$1,99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 xml:space="preserve">0%</w:t>
            </w:r>
          </w:p>
        </w:tc>
      </w:tr>
    </w:tbl>
    <w:p>
      <w:r>
        <w:t xml:space="preserve"/>
      </w:r>
    </w:p>
    <w:p>
      <w:r>
        <w:rPr>
          <w:b/>
        </w:rPr>
        <w:t xml:space="preserve">Cardápio da loja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</w:tcPr>
          <w:p>
            <w:r>
              <w:t xml:space="preserve">Espelho dourado</w:t>
            </w:r>
          </w:p>
        </w:tc>
        <w:tc>
          <w:tcPr>
            <w:tcW w:w="4500" w:type="dxa"/>
            <w:shd w:val="clear" w:color="auto" w:fill="F2F2F2"/>
          </w:tcPr>
          <w:p>
            <w:pPr>
              <w:jc w:val="right"/>
            </w:pPr>
            <w:r>
              <w:t xml:space="preserve">$2,99</w:t>
            </w:r>
          </w:p>
        </w:tc>
      </w:tr>
      <w:tr>
        <w:tc>
          <w:tcPr>
            <w:tcW w:w="4500" w:type="dxa"/>
          </w:tcPr>
          <w:p>
            <w:r>
              <w:t xml:space="preserve">Pacote de ilhas</w:t>
            </w:r>
          </w:p>
        </w:tc>
        <w:tc>
          <w:tcPr>
            <w:tcW w:w="4500" w:type="dxa"/>
          </w:tcPr>
          <w:p>
            <w:pPr>
              <w:jc w:val="right"/>
            </w:pPr>
            <w:r>
              <w:t xml:space="preserve">$4,99</w:t>
            </w:r>
          </w:p>
        </w:tc>
      </w:tr>
      <w:tr>
        <w:tc>
          <w:tcPr>
            <w:tcW w:w="4500" w:type="dxa"/>
          </w:tcPr>
          <w:p>
            <w:r>
              <w:t xml:space="preserve">Tema noturno</w:t>
            </w:r>
          </w:p>
        </w:tc>
        <w:tc>
          <w:tcPr>
            <w:tcW w:w="4500" w:type="dxa"/>
          </w:tcPr>
          <w:p>
            <w:pPr>
              <w:jc w:val="right"/>
            </w:pPr>
            <w:r>
              <w:t xml:space="preserve">$1,99</w:t>
            </w:r>
          </w:p>
        </w:tc>
      </w:tr>
    </w:tbl>
    <w:p>
      <w:r>
        <w:t xml:space="preserve"/>
      </w:r>
    </w:p>
    <w:p>
      <w:r>
        <w:rPr>
          <w:b/>
          <w:color w:val="B35C00"/>
          <w:sz w:val="19"/>
        </w:rPr>
        <w:t xml:space="preserve">⚠ ALERTA</w:t>
      </w:r>
    </w:p>
    <w:p>
      <w:pPr>
        <w:ind w:left="360"/>
      </w:pPr>
      <w:r>
        <w:rPr>
          <w:i/>
        </w:rPr>
        <w:t xml:space="preserve">Observação: Os preços seguem a tabela da loja.</w:t>
      </w:r>
    </w:p>
    <w:p>
      <w:pPr>
        <w:pBdr>
          <w:bottom w:val="dashed" w:sz="6" w:space="1" w:color="BFBFBF"/>
        </w:pBdr>
        <w:ind w:left="2250" w:right="2250"/>
      </w:pPr>
    </w:p>
    <w:p>
      <w:r>
        <w:rPr>
          <w:b/>
        </w:rPr>
        <w:t xml:space="preserve">Antes do lançamento</w:t>
      </w:r>
    </w:p>
    <w:p>
      <w:pPr>
        <w:ind w:left="360"/>
      </w:pPr>
      <w:r>
        <w:t xml:space="preserve">☑ Definir os preços</w:t>
      </w:r>
    </w:p>
    <w:p>
      <w:pPr>
        <w:ind w:left="360"/>
      </w:pPr>
      <w:r>
        <w:t xml:space="preserve">☐ Testar a loja no celular</w:t>
      </w:r>
    </w:p>
    <w:p>
      <w:pPr>
        <w:ind w:left="360"/>
      </w:pPr>
      <w:r>
        <w:t xml:space="preserve">☐ Revisar as mecânicas</w:t>
      </w:r>
    </w:p>
    <w:p>
      <w:pPr>
        <w:spacing w:before="0" w:after="210"/>
      </w:pPr>
    </w:p>
    <w:p>
      <w:pPr>
        <w:pStyle w:val="Heading1"/>
      </w:pPr>
      <w:r>
        <w:t xml:space="preserve">Som e galeria</w:t>
      </w:r>
    </w:p>
    <w:p>
      <w:r>
        <w:rPr>
          <w:i/>
        </w:rPr>
        <w:t xml:space="preserve">♪ [Áudio: tema-da-ilha.wav · 0:03]</w:t>
      </w:r>
    </w:p>
    <w:p>
      <w:r>
        <w:rPr>
          <w:i/>
        </w:rPr>
        <w:t xml:space="preserve">Tema da ilha (rascunho)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jc w:val="center"/>
            </w:pPr>
            <w:r>
              <w:drawing>
                <wp:inline distT="0" distB="0" distL="0" distR="0">
                  <wp:extent cx="1738800" cy="1304100"/>
                  <wp:docPr id="2" name="Imagem 2"/>
                  <a:graphic>
                    <a:graphicData uri="http://schemas.openxmlformats.org/drawingml/2006/picture">
                      <pic:pic>
                        <pic:nvPicPr>
                          <pic:cNvPr id="2" name="imagem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00" cy="130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drawing>
                <wp:inline distT="0" distB="0" distL="0" distR="0">
                  <wp:extent cx="1738800" cy="1304100"/>
                  <wp:docPr id="3" name="Imagem 3"/>
                  <a:graphic>
                    <a:graphicData uri="http://schemas.openxmlformats.org/drawingml/2006/picture">
                      <pic:pic>
                        <pic:nvPicPr>
                          <pic:cNvPr id="3" name="imagem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00" cy="130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drawing>
                <wp:inline distT="0" distB="0" distL="0" distR="0">
                  <wp:extent cx="1738800" cy="1304100"/>
                  <wp:docPr id="4" name="Imagem 4"/>
                  <a:graphic>
                    <a:graphicData uri="http://schemas.openxmlformats.org/drawingml/2006/picture">
                      <pic:pic>
                        <pic:nvPicPr>
                          <pic:cNvPr id="4" name="imagem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00" cy="130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</w:rPr>
        <w:t xml:space="preserve">Ilhas 1 a 3</w:t>
      </w:r>
    </w:p>
    <w:sectPr>
      <w:pgSz w:w="11906" w:h="16838"/>
      <w:pgMar w:top="850" w:right="850" w:bottom="850" w:left="85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240"/>
    </w:pPr>
    <w:rPr>
      <w:b/>
      <w:sz w:val="44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0A7A47"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1F5FA8"/>
      <w:sz w:val="26"/>
    </w:rPr>
  </w:style>
  <w:style w:type="paragraph" w:styleId="Chapter">
    <w:name w:val="Capítulo"/>
    <w:basedOn w:val="Normal"/>
    <w:next w:val="Normal"/>
    <w:pPr>
      <w:keepNext/>
      <w:spacing w:before="480" w:after="240"/>
      <w:outlineLvl w:val="0"/>
      <w:pBdr>
        <w:bottom w:val="double" w:sz="6" w:space="4" w:color="0A7A47"/>
      </w:pBdr>
    </w:pPr>
    <w:rPr>
      <w:b/>
      <w:caps/>
      <w:color w:val="0A7A47"/>
      <w:sz w:val="40"/>
    </w:rPr>
  </w:style>
  <w:style w:type="paragraph" w:styleId="Heading3">
    <w:name w:val="heading 3"/>
    <w:basedOn w:val="Normal"/>
    <w:next w:val="Normal"/>
    <w:pPr>
      <w:keepNext/>
      <w:spacing w:before="200" w:after="60"/>
      <w:outlineLvl w:val="2"/>
    </w:pPr>
    <w:rPr>
      <w:b/>
      <w:color w:val="2E75C8"/>
      <w:sz w:val="24"/>
    </w:rPr>
  </w:style>
  <w:style w:type="paragraph" w:styleId="Heading4">
    <w:name w:val="heading 4"/>
    <w:basedOn w:val="Normal"/>
    <w:next w:val="Normal"/>
    <w:pPr>
      <w:keepNext/>
      <w:spacing w:before="160" w:after="40"/>
      <w:outlineLvl w:val="3"/>
    </w:pPr>
    <w:rPr>
      <w:b/>
      <w:i/>
      <w:color w:val="2E75C8"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m1.png"/><Relationship Id="rIdImg2" Type="http://schemas.openxmlformats.org/officeDocument/2006/relationships/image" Target="media/imagem2.png"/><Relationship Id="rIdImg3" Type="http://schemas.openxmlformats.org/officeDocument/2006/relationships/image" Target="media/imagem3.png"/><Relationship Id="rIdImg4" Type="http://schemas.openxmlformats.org/officeDocument/2006/relationships/image" Target="media/imagem4.png"/></Relationships>
</file>