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PLANO DE MANUTENÇÃO PREVENTIVA - LINHA 2 DE ESTAMPAGEM</w:t>
      </w:r>
    </w:p>
    <w:p>
      <w:r>
        <w:t>Responsável: Marina Duarte, gerente de Engenharia de Manutenção.</w:t>
      </w:r>
    </w:p>
    <w:p>
      <w:r>
        <w:t>Objetivo</w:t>
      </w:r>
    </w:p>
    <w:p>
      <w:r>
        <w:t>Garantir a disponibilidade da Linha 2 acima de 94% ao mês, com paradas programadas aos</w:t>
      </w:r>
    </w:p>
    <w:p>
      <w:r>
        <w:t>domingos, das 6h às 14h. As paradas fora desse horário só ocorrem por falha ou emergência.</w:t>
      </w:r>
    </w:p>
    <w:p>
      <w:r>
        <w:t>Prensa hidráulica PH-02</w:t>
      </w:r>
    </w:p>
    <w:p>
      <w:r>
        <w:t>Verificação do nível e da temperatura do óleo hidráulico: diária, no início do turno.</w:t>
      </w:r>
    </w:p>
    <w:p>
      <w:r>
        <w:t>Troca do óleo hidráulico: a cada 6 meses.</w:t>
      </w:r>
    </w:p>
    <w:p>
      <w:r>
        <w:t>Inspeção das mangueiras de alta pressão: mensal. Mangueiras com mais de 5 anos são trocadas.</w:t>
      </w:r>
    </w:p>
    <w:p>
      <w:r>
        <w:t>Ponte rolante PR-04</w:t>
      </w:r>
    </w:p>
    <w:p>
      <w:r>
        <w:t>Inspeção dos cabos de aço: semanal. A troca é obrigatória se houver mais de 6 fios rompidos</w:t>
      </w:r>
    </w:p>
    <w:p>
      <w:r>
        <w:t>em um passo do cabo. Teste de carga com 125% da capacidade nominal: a cada 12 meses.</w:t>
      </w:r>
    </w:p>
    <w:p>
      <w:r>
        <w:t>Indicadores</w:t>
      </w:r>
    </w:p>
    <w:p>
      <w:r>
        <w:t>A meta de tempo médio de reparo (MTTR) é de 3 horas. O tempo médio entre falhas (MTBF)</w:t>
      </w:r>
    </w:p>
    <w:p>
      <w:r>
        <w:t>deve ficar acima de 400 horas. Os indicadores são revisados na reunião mensal de manutenção.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