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E37370" w14:textId="77777777" w:rsidR="00ED3E88" w:rsidRDefault="00ED3E88" w:rsidP="00ED3E88">
      <w:r>
        <w:t>Análise preliminar</w:t>
      </w:r>
    </w:p>
    <w:p w14:paraId="23D05779" w14:textId="77777777" w:rsidR="00ED3E88" w:rsidRDefault="00ED3E88" w:rsidP="00ED3E88"/>
    <w:p w14:paraId="0AB870E3" w14:textId="77777777" w:rsidR="00ED3E88" w:rsidRDefault="00ED3E88" w:rsidP="00ED3E88">
      <w:r>
        <w:t>Ocorrências acima de 0,70% apresentam maior potencial econômico.</w:t>
      </w:r>
    </w:p>
    <w:p w14:paraId="60CF6338" w14:textId="77777777" w:rsidR="00ED3E88" w:rsidRDefault="00ED3E88" w:rsidP="00ED3E88"/>
    <w:p w14:paraId="3E40E25A" w14:textId="0F1E4260" w:rsidR="00E24CA8" w:rsidRDefault="00ED3E88" w:rsidP="00ED3E88">
      <w:r>
        <w:t>Região Serra Azul continua sendo a prioridade.</w:t>
      </w:r>
    </w:p>
    <w:sectPr w:rsidR="00E24C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E88"/>
    <w:rsid w:val="00131E4F"/>
    <w:rsid w:val="001A1CF0"/>
    <w:rsid w:val="002874FC"/>
    <w:rsid w:val="00472522"/>
    <w:rsid w:val="004F287E"/>
    <w:rsid w:val="00E24CA8"/>
    <w:rsid w:val="00ED3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F7546D"/>
  <w15:chartTrackingRefBased/>
  <w15:docId w15:val="{8DCB1C88-8D32-BE45-92EF-AAF05505C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3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3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3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3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3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3E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3E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3E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3E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3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3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3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3E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3E8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3E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3E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3E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3E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3E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3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3E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3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3E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3E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3E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3E8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3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3E8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3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113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Eduardo Bertuol</dc:creator>
  <cp:keywords/>
  <dc:description/>
  <cp:lastModifiedBy>Lucas Eduardo Bertuol</cp:lastModifiedBy>
  <cp:revision>1</cp:revision>
  <dcterms:created xsi:type="dcterms:W3CDTF">2026-07-29T16:28:00Z</dcterms:created>
  <dcterms:modified xsi:type="dcterms:W3CDTF">2026-07-29T16:28:00Z</dcterms:modified>
</cp:coreProperties>
</file>