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8D0F0" w14:textId="77777777" w:rsidR="00F25573" w:rsidRDefault="00F25573" w:rsidP="00F25573">
      <w:r>
        <w:t>Reunião técnica</w:t>
      </w:r>
    </w:p>
    <w:p w14:paraId="21746107" w14:textId="77777777" w:rsidR="00F25573" w:rsidRDefault="00F25573" w:rsidP="00F25573"/>
    <w:p w14:paraId="08BB1B38" w14:textId="77777777" w:rsidR="00F25573" w:rsidRDefault="00F25573" w:rsidP="00F25573">
      <w:r>
        <w:t>Foi decidido priorizar áreas com teor superior a 0,70%.</w:t>
      </w:r>
    </w:p>
    <w:p w14:paraId="0D0FE660" w14:textId="77777777" w:rsidR="00F25573" w:rsidRDefault="00F25573" w:rsidP="00F25573"/>
    <w:p w14:paraId="77E1ADED" w14:textId="360598BD" w:rsidR="00E24CA8" w:rsidRDefault="00F25573" w:rsidP="00F25573">
      <w:r>
        <w:t>Também será considerada a proximidade da infraestrutura logística.</w:t>
      </w:r>
    </w:p>
    <w:sectPr w:rsidR="00E24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73"/>
    <w:rsid w:val="00131E4F"/>
    <w:rsid w:val="001A1CF0"/>
    <w:rsid w:val="002874FC"/>
    <w:rsid w:val="00472522"/>
    <w:rsid w:val="004F287E"/>
    <w:rsid w:val="00E24CA8"/>
    <w:rsid w:val="00F2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DEDB0"/>
  <w15:chartTrackingRefBased/>
  <w15:docId w15:val="{5A467529-F132-A04B-B2E2-3CEB11A0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5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5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5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5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55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55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5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55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5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5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55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55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5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55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55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55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55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119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 Bertuol</dc:creator>
  <cp:keywords/>
  <dc:description/>
  <cp:lastModifiedBy>Lucas Eduardo Bertuol</cp:lastModifiedBy>
  <cp:revision>1</cp:revision>
  <dcterms:created xsi:type="dcterms:W3CDTF">2026-07-29T16:26:00Z</dcterms:created>
  <dcterms:modified xsi:type="dcterms:W3CDTF">2026-07-29T16:27:00Z</dcterms:modified>
</cp:coreProperties>
</file>