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420"/>
              <w:left w:type="dxa" w:w="420"/>
              <w:bottom w:type="dxa" w:w="420"/>
              <w:right w:type="dxa" w:w="420"/>
            </w:tcMar>
          </w:tcPr>
          <w:p>
            <w:r>
              <w:rPr>
                <w:rFonts w:ascii="Arial" w:cs="Arial" w:eastAsia="Arial" w:hAnsi="Arial"/>
                <w:b/>
                <w:bCs/>
                <w:color w:val="9C7C38"/>
                <w:spacing w:val="40"/>
                <w:sz w:val="16"/>
                <w:szCs w:val="16"/>
              </w:rPr>
              <w:t xml:space="preserve">RELATÓRIO EXECUTIVO</w:t>
            </w:r>
          </w:p>
          <w:p>
            <w:pPr>
              <w:spacing w:before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CONSTRUTORA ALFA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C7CEDA"/>
                <w:sz w:val="19"/>
                <w:szCs w:val="19"/>
              </w:rPr>
              <w:t xml:space="preserve">Referência: Julho/2026</w:t>
            </w:r>
            <w:r>
              <w:rPr>
                <w:rFonts w:ascii="Arial" w:cs="Arial" w:eastAsia="Arial" w:hAnsi="Arial"/>
                <w:color w:val="5A6B87"/>
                <w:sz w:val="19"/>
                <w:szCs w:val="19"/>
              </w:rPr>
              <w:t xml:space="preserve">    •    </w:t>
            </w:r>
            <w:r>
              <w:rPr>
                <w:rFonts w:ascii="Arial" w:cs="Arial" w:eastAsia="Arial" w:hAnsi="Arial"/>
                <w:color w:val="C7CEDA"/>
                <w:sz w:val="19"/>
                <w:szCs w:val="19"/>
              </w:rPr>
              <w:t xml:space="preserve">Versão 2</w:t>
            </w:r>
            <w:r>
              <w:rPr>
                <w:rFonts w:ascii="Arial" w:cs="Arial" w:eastAsia="Arial" w:hAnsi="Arial"/>
                <w:color w:val="5A6B87"/>
                <w:sz w:val="19"/>
                <w:szCs w:val="19"/>
              </w:rPr>
              <w:t xml:space="preserve">    •    </w:t>
            </w:r>
            <w:r>
              <w:rPr>
                <w:rFonts w:ascii="Arial" w:cs="Arial" w:eastAsia="Arial" w:hAnsi="Arial"/>
                <w:color w:val="C7CEDA"/>
                <w:sz w:val="19"/>
                <w:szCs w:val="19"/>
              </w:rPr>
              <w:t xml:space="preserve">Gerado em 15 de julho de 2026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9C7C38" w:sz="16"/>
              <w:left w:val="none" w:color="FFFFFF" w:sz="0"/>
              <w:bottom w:val="none" w:color="FFFFFF" w:sz="0"/>
              <w:right w:val="single" w:color="E2E5EA" w:sz="2"/>
            </w:tcBorders>
            <w:shd w:fill="FFFFFF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r>
              <w:rPr>
                <w:rFonts w:ascii="Arial" w:cs="Arial" w:eastAsia="Arial" w:hAnsi="Arial"/>
                <w:color w:val="7A8394"/>
                <w:spacing w:val="10"/>
                <w:sz w:val="14"/>
                <w:szCs w:val="14"/>
              </w:rPr>
              <w:t xml:space="preserve">PROCESSOS ATIVOS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b/>
                <w:bCs/>
                <w:color w:val="142B4B"/>
                <w:sz w:val="30"/>
                <w:szCs w:val="30"/>
              </w:rPr>
              <w:t xml:space="preserve">5</w:t>
            </w:r>
          </w:p>
          <w:p>
            <w:r>
              <w:rPr>
                <w:rFonts w:ascii="Arial" w:cs="Arial" w:eastAsia="Arial" w:hAnsi="Arial"/>
                <w:b/>
                <w:bCs/>
                <w:color w:val="44546A"/>
                <w:sz w:val="15"/>
                <w:szCs w:val="15"/>
              </w:rPr>
              <w:t xml:space="preserve">▲ 1 vs. mês anterior</w:t>
            </w:r>
          </w:p>
        </w:tc>
        <w:tc>
          <w:tcPr>
            <w:tcW w:type="pct" w:w="25%"/>
            <w:tcBorders>
              <w:top w:val="single" w:color="9C7C38" w:sz="16"/>
              <w:left w:val="none" w:color="FFFFFF" w:sz="0"/>
              <w:bottom w:val="none" w:color="FFFFFF" w:sz="0"/>
              <w:right w:val="single" w:color="E2E5EA" w:sz="2"/>
            </w:tcBorders>
            <w:shd w:fill="FFFFFF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r>
              <w:rPr>
                <w:rFonts w:ascii="Arial" w:cs="Arial" w:eastAsia="Arial" w:hAnsi="Arial"/>
                <w:color w:val="7A8394"/>
                <w:spacing w:val="10"/>
                <w:sz w:val="14"/>
                <w:szCs w:val="14"/>
              </w:rPr>
              <w:t xml:space="preserve">VALOR ENVOLVIDO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b/>
                <w:bCs/>
                <w:color w:val="142B4B"/>
                <w:sz w:val="30"/>
                <w:szCs w:val="30"/>
              </w:rPr>
              <w:t xml:space="preserve">R$ 8.605.000,00</w:t>
            </w:r>
          </w:p>
          <w:p>
            <w:r>
              <w:rPr>
                <w:rFonts w:ascii="Arial" w:cs="Arial" w:eastAsia="Arial" w:hAnsi="Arial"/>
                <w:b/>
                <w:bCs/>
                <w:color w:val="A33B3B"/>
                <w:sz w:val="15"/>
                <w:szCs w:val="15"/>
              </w:rPr>
              <w:t xml:space="preserve">▲ 35.4% vs. mês anterior</w:t>
            </w:r>
          </w:p>
        </w:tc>
        <w:tc>
          <w:tcPr>
            <w:tcW w:type="pct" w:w="25%"/>
            <w:tcBorders>
              <w:top w:val="single" w:color="9C7C38" w:sz="16"/>
              <w:left w:val="none" w:color="FFFFFF" w:sz="0"/>
              <w:bottom w:val="none" w:color="FFFFFF" w:sz="0"/>
              <w:right w:val="single" w:color="E2E5EA" w:sz="2"/>
            </w:tcBorders>
            <w:shd w:fill="FFFFFF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r>
              <w:rPr>
                <w:rFonts w:ascii="Arial" w:cs="Arial" w:eastAsia="Arial" w:hAnsi="Arial"/>
                <w:color w:val="7A8394"/>
                <w:spacing w:val="10"/>
                <w:sz w:val="14"/>
                <w:szCs w:val="14"/>
              </w:rPr>
              <w:t xml:space="preserve">PROVISÃO TOTAL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b/>
                <w:bCs/>
                <w:color w:val="142B4B"/>
                <w:sz w:val="30"/>
                <w:szCs w:val="30"/>
              </w:rPr>
              <w:t xml:space="preserve">R$ 2.050.000,00</w:t>
            </w:r>
          </w:p>
          <w:p>
            <w:r>
              <w:rPr>
                <w:rFonts w:ascii="Arial" w:cs="Arial" w:eastAsia="Arial" w:hAnsi="Arial"/>
                <w:b/>
                <w:bCs/>
                <w:color w:val="44546A"/>
                <w:sz w:val="15"/>
                <w:szCs w:val="15"/>
              </w:rPr>
              <w:t xml:space="preserve">▲ 32.3% vs. mês anterior</w:t>
            </w:r>
          </w:p>
        </w:tc>
        <w:tc>
          <w:tcPr>
            <w:tcW w:type="pct" w:w="25%"/>
            <w:tcBorders>
              <w:top w:val="single" w:color="A33B3B" w:sz="16"/>
              <w:left w:val="none" w:color="FFFFFF" w:sz="0"/>
              <w:bottom w:val="none" w:color="FFFFFF" w:sz="0"/>
              <w:right w:val="none" w:color="FFFFFF" w:sz="0"/>
            </w:tcBorders>
            <w:shd w:fill="FBEAEA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r>
              <w:rPr>
                <w:rFonts w:ascii="Arial" w:cs="Arial" w:eastAsia="Arial" w:hAnsi="Arial"/>
                <w:color w:val="7A8394"/>
                <w:spacing w:val="10"/>
                <w:sz w:val="14"/>
                <w:szCs w:val="14"/>
              </w:rPr>
              <w:t xml:space="preserve">SEM PROVISÃO ADEQUADA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b/>
                <w:bCs/>
                <w:color w:val="A33B3B"/>
                <w:sz w:val="30"/>
                <w:szCs w:val="30"/>
              </w:rPr>
              <w:t xml:space="preserve">1 (20%)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A33B3B"/>
                <w:sz w:val="15"/>
                <w:szCs w:val="15"/>
              </w:rPr>
              <w:t xml:space="preserve">requer atenção da diretoria jurídica</w:t>
            </w:r>
          </w:p>
        </w:tc>
      </w:tr>
    </w:tbl>
    <w:p>
      <w:pPr>
        <w:spacing w:after="60"/>
      </w:pPr>
    </w:p>
    <w:p>
      <w:pPr>
        <w:pBdr>
          <w:bottom w:val="single" w:color="9C7C3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2B4B"/>
          <w:spacing w:val="20"/>
          <w:sz w:val="20"/>
          <w:szCs w:val="20"/>
        </w:rPr>
        <w:t xml:space="preserve">PANORAMA DA CARTEIRA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8394"/>
                <w:spacing w:val="10"/>
                <w:sz w:val="14"/>
                <w:szCs w:val="14"/>
              </w:rPr>
              <w:t xml:space="preserve">CARTEIRA POR ÁREA DO DIREITO</w:t>
            </w:r>
          </w:p>
          <w:p>
            <w:pPr>
              <w:spacing w:after="60"/>
            </w:pPr>
          </w:p>
          <w:p>
            <w:pPr>
              <w:jc w:val="center"/>
            </w:pPr>
            <w:r>
              <w:drawing>
                <wp:inline distT="0" distB="0" distL="0" distR="0">
                  <wp:extent cx="16573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7A8394"/>
                <w:spacing w:val="10"/>
                <w:sz w:val="14"/>
                <w:szCs w:val="14"/>
              </w:rPr>
              <w:t xml:space="preserve">MAIORES EXPOSIÇÕES DA CARTEIRA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6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b/>
                      <w:bCs/>
                      <w:color w:val="9C7C38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2430"/>
                      <w:sz w:val="17"/>
                      <w:szCs w:val="17"/>
                    </w:rPr>
                    <w:t xml:space="preserve">Município de São Paulo</w:t>
                  </w:r>
                </w:p>
                <w:p>
                  <w:r>
                    <w:rPr>
                      <w:rFonts w:ascii="Arial" w:cs="Arial" w:eastAsia="Arial" w:hAnsi="Arial"/>
                      <w:color w:val="7A8394"/>
                      <w:sz w:val="14"/>
                      <w:szCs w:val="14"/>
                    </w:rPr>
                    <w:t xml:space="preserve">Tributário · 0007777-88.2023.8.26.0100</w:t>
                  </w:r>
                </w:p>
              </w:tc>
              <w:tc>
                <w:tcPr>
                  <w:tcW w:type="pct" w:w="3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</w:tblGrid>
                  <w:tr>
                    <w:trPr>
                      <w:trHeight w:val="170" w:hRule="exact"/>
                    </w:trPr>
                    <w:tc>
                      <w:tcPr>
                        <w:tcW w:type="pct" w:w="100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42B4B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</w:tr>
                </w:tbl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42B4B"/>
                      <w:sz w:val="18"/>
                      <w:szCs w:val="18"/>
                    </w:rPr>
                    <w:t xml:space="preserve">R$ 4.800.000,00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6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b/>
                      <w:bCs/>
                      <w:color w:val="9C7C38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2430"/>
                      <w:sz w:val="17"/>
                      <w:szCs w:val="17"/>
                    </w:rPr>
                    <w:t xml:space="preserve">Banco Beta S/A</w:t>
                  </w:r>
                </w:p>
                <w:p>
                  <w:r>
                    <w:rPr>
                      <w:rFonts w:ascii="Arial" w:cs="Arial" w:eastAsia="Arial" w:hAnsi="Arial"/>
                      <w:color w:val="7A8394"/>
                      <w:sz w:val="14"/>
                      <w:szCs w:val="14"/>
                    </w:rPr>
                    <w:t xml:space="preserve">Cível · 0009999-00.2025.8.26.0500</w:t>
                  </w:r>
                </w:p>
              </w:tc>
              <w:tc>
                <w:tcPr>
                  <w:tcW w:type="pct" w:w="3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</w:tblGrid>
                  <w:tr>
                    <w:trPr>
                      <w:trHeight w:val="170" w:hRule="exact"/>
                    </w:trPr>
                    <w:tc>
                      <w:tcPr>
                        <w:tcW w:type="pct" w:w="42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9C7C38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  <w:tc>
                      <w:tcPr>
                        <w:tcW w:type="pct" w:w="58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0F1F3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</w:tr>
                </w:tbl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42B4B"/>
                      <w:sz w:val="18"/>
                      <w:szCs w:val="18"/>
                    </w:rPr>
                    <w:t xml:space="preserve">R$ 2.000.000,00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6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b/>
                      <w:bCs/>
                      <w:color w:val="9C7C38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2430"/>
                      <w:sz w:val="17"/>
                      <w:szCs w:val="17"/>
                    </w:rPr>
                    <w:t xml:space="preserve">João da Silva</w:t>
                  </w:r>
                </w:p>
                <w:p>
                  <w:r>
                    <w:rPr>
                      <w:rFonts w:ascii="Arial" w:cs="Arial" w:eastAsia="Arial" w:hAnsi="Arial"/>
                      <w:color w:val="7A8394"/>
                      <w:sz w:val="14"/>
                      <w:szCs w:val="14"/>
                    </w:rPr>
                    <w:t xml:space="preserve">Trabalhista · 0001234-56.2024.5.02.0001</w:t>
                  </w:r>
                </w:p>
              </w:tc>
              <w:tc>
                <w:tcPr>
                  <w:tcW w:type="pct" w:w="3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</w:tblGrid>
                  <w:tr>
                    <w:trPr>
                      <w:trHeight w:val="170" w:hRule="exact"/>
                    </w:trPr>
                    <w:tc>
                      <w:tcPr>
                        <w:tcW w:type="pct" w:w="31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3F6B4F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  <w:tc>
                      <w:tcPr>
                        <w:tcW w:type="pct" w:w="69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0F1F3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</w:tr>
                </w:tbl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42B4B"/>
                      <w:sz w:val="18"/>
                      <w:szCs w:val="18"/>
                    </w:rPr>
                    <w:t xml:space="preserve">R$ 1.500.000,00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6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b/>
                      <w:bCs/>
                      <w:color w:val="9C7C38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2430"/>
                      <w:sz w:val="17"/>
                      <w:szCs w:val="17"/>
                    </w:rPr>
                    <w:t xml:space="preserve">Pedro Santos</w:t>
                  </w:r>
                </w:p>
                <w:p>
                  <w:r>
                    <w:rPr>
                      <w:rFonts w:ascii="Arial" w:cs="Arial" w:eastAsia="Arial" w:hAnsi="Arial"/>
                      <w:color w:val="7A8394"/>
                      <w:sz w:val="14"/>
                      <w:szCs w:val="14"/>
                    </w:rPr>
                    <w:t xml:space="preserve">Trabalhista · 0005555-11.2024.5.02.0033</w:t>
                  </w:r>
                </w:p>
              </w:tc>
              <w:tc>
                <w:tcPr>
                  <w:tcW w:type="pct" w:w="36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</w:tblGrid>
                  <w:tr>
                    <w:trPr>
                      <w:trHeight w:val="170" w:hRule="exact"/>
                    </w:trPr>
                    <w:tc>
                      <w:tcPr>
                        <w:tcW w:type="pct" w:w="5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6E5AA0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  <w:tc>
                      <w:tcPr>
                        <w:tcW w:type="pct" w:w="95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0F1F3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</w:tr>
                </w:tbl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single" w:color="E2E5EA" w:sz="2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42B4B"/>
                      <w:sz w:val="18"/>
                      <w:szCs w:val="18"/>
                    </w:rPr>
                    <w:t xml:space="preserve">R$ 220.000,00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6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b/>
                      <w:bCs/>
                      <w:color w:val="9C7C38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C2430"/>
                      <w:sz w:val="17"/>
                      <w:szCs w:val="17"/>
                    </w:rPr>
                    <w:t xml:space="preserve">Maria Souza</w:t>
                  </w:r>
                </w:p>
                <w:p>
                  <w:r>
                    <w:rPr>
                      <w:rFonts w:ascii="Arial" w:cs="Arial" w:eastAsia="Arial" w:hAnsi="Arial"/>
                      <w:color w:val="7A8394"/>
                      <w:sz w:val="14"/>
                      <w:szCs w:val="14"/>
                    </w:rPr>
                    <w:t xml:space="preserve">Cível · 0003210-99.2022.8.26.0002</w:t>
                  </w:r>
                </w:p>
              </w:tc>
              <w:tc>
                <w:tcPr>
                  <w:tcW w:type="pct" w:w="3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12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00"/>
                    <w:gridCol w:w="100"/>
                  </w:tblGrid>
                  <w:tr>
                    <w:trPr>
                      <w:trHeight w:val="170" w:hRule="exact"/>
                    </w:trPr>
                    <w:tc>
                      <w:tcPr>
                        <w:tcW w:type="pct" w:w="3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2E7D8C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  <w:tc>
                      <w:tcPr>
                        <w:tcW w:type="pct" w:w="97%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0F1F3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/>
                    </w:tc>
                  </w:tr>
                </w:tbl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42B4B"/>
                      <w:sz w:val="18"/>
                      <w:szCs w:val="18"/>
                    </w:rPr>
                    <w:t xml:space="preserve">R$ 85.000,00</w:t>
                  </w:r>
                </w:p>
              </w:tc>
            </w:tr>
          </w:tbl>
          <w:p/>
        </w:tc>
      </w:tr>
    </w:tbl>
    <w:p>
      <w:pPr>
        <w:pBdr>
          <w:bottom w:val="single" w:color="9C7C3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2B4B"/>
          <w:spacing w:val="20"/>
          <w:sz w:val="20"/>
          <w:szCs w:val="20"/>
        </w:rPr>
        <w:t xml:space="preserve">MOVIMENTAÇÕES DO PERÍODO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430"/>
                <w:sz w:val="16"/>
                <w:szCs w:val="16"/>
              </w:rPr>
              <w:t xml:space="preserve">Processos novos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17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B4B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42B4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430"/>
                <w:sz w:val="16"/>
                <w:szCs w:val="16"/>
              </w:rPr>
              <w:t xml:space="preserve">Alterações relevantes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17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C7C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42B4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C2430"/>
                <w:sz w:val="16"/>
                <w:szCs w:val="16"/>
              </w:rPr>
              <w:t xml:space="preserve">Acordos / homologações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17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6B4F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42B4B"/>
                <w:sz w:val="20"/>
                <w:szCs w:val="20"/>
              </w:rPr>
              <w:t xml:space="preserve">1</w:t>
            </w:r>
          </w:p>
        </w:tc>
      </w:tr>
    </w:tbl>
    <w:p>
      <w:pPr>
        <w:pBdr>
          <w:bottom w:val="single" w:color="9C7C3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2B4B"/>
          <w:spacing w:val="20"/>
          <w:sz w:val="20"/>
          <w:szCs w:val="20"/>
        </w:rPr>
        <w:t xml:space="preserve">DESTAQUES DO PERÍODO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C7C38" w:sz="18"/>
              <w:bottom w:val="none" w:color="FFFFFF" w:sz="0"/>
              <w:right w:val="none" w:color="FFFFFF" w:sz="0"/>
            </w:tcBorders>
            <w:shd w:fill="FBFAF7"/>
            <w:tcMar>
              <w:top w:type="dxa" w:w="180"/>
              <w:left w:type="dxa" w:w="220"/>
              <w:bottom w:type="dxa" w:w="18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42B4B"/>
                <w:sz w:val="20"/>
                <w:szCs w:val="20"/>
              </w:rPr>
              <w:t xml:space="preserve">Aumento de exposição em processo trabalhista relevante</w:t>
            </w:r>
          </w:p>
          <w:p>
            <w:pPr>
              <w:spacing w:after="110" w:before="90"/>
            </w:pPr>
            <w:r>
              <w:rPr>
                <w:rFonts w:ascii="Arial" w:cs="Arial" w:eastAsia="Arial" w:hAnsi="Arial"/>
                <w:color w:val="2A3140"/>
                <w:sz w:val="18"/>
                <w:szCs w:val="18"/>
              </w:rPr>
              <w:t xml:space="preserve">O processo movido por João da Silva teve o valor da causa atualizado de R$ 1.250.000,00 para R$ 1.500.000,00, um incremento de 20% que ainda não está refletido na provisão atual. Recomenda-se revisão da provisão junto ao departamento financeiro.</w:t>
            </w:r>
          </w:p>
          <w:p>
            <w:r>
              <w:rPr>
                <w:rFonts w:ascii="Arial" w:cs="Arial" w:eastAsia="Arial" w:hAnsi="Arial"/>
                <w:color w:val="7A8394"/>
                <w:spacing w:val="8"/>
                <w:sz w:val="13"/>
                <w:szCs w:val="13"/>
              </w:rPr>
              <w:t xml:space="preserve">FONTE — Andamento da planilha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C7C38" w:sz="18"/>
              <w:bottom w:val="none" w:color="FFFFFF" w:sz="0"/>
              <w:right w:val="none" w:color="FFFFFF" w:sz="0"/>
            </w:tcBorders>
            <w:shd w:fill="FBFAF7"/>
            <w:tcMar>
              <w:top w:type="dxa" w:w="180"/>
              <w:left w:type="dxa" w:w="220"/>
              <w:bottom w:type="dxa" w:w="18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42B4B"/>
                <w:sz w:val="20"/>
                <w:szCs w:val="20"/>
              </w:rPr>
              <w:t xml:space="preserve">Acordo homologado — processo de Maria Souza</w:t>
            </w:r>
          </w:p>
          <w:p>
            <w:pPr>
              <w:spacing w:after="110" w:before="90"/>
            </w:pPr>
            <w:r>
              <w:rPr>
                <w:rFonts w:ascii="Arial" w:cs="Arial" w:eastAsia="Arial" w:hAnsi="Arial"/>
                <w:color w:val="2A3140"/>
                <w:sz w:val="18"/>
                <w:szCs w:val="18"/>
              </w:rPr>
              <w:t xml:space="preserve">O processo cível de Maria Souza foi encerrado por acordo homologado neste período, encerrando uma exposição de R$ 85.000,00 sem necessidade de provisão adicional.</w:t>
            </w:r>
          </w:p>
          <w:p>
            <w:r>
              <w:rPr>
                <w:rFonts w:ascii="Arial" w:cs="Arial" w:eastAsia="Arial" w:hAnsi="Arial"/>
                <w:color w:val="7A8394"/>
                <w:spacing w:val="8"/>
                <w:sz w:val="13"/>
                <w:szCs w:val="13"/>
              </w:rPr>
              <w:t xml:space="preserve">FONTE — Andamento da planilha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C7C38" w:sz="18"/>
              <w:bottom w:val="none" w:color="FFFFFF" w:sz="0"/>
              <w:right w:val="none" w:color="FFFFFF" w:sz="0"/>
            </w:tcBorders>
            <w:shd w:fill="FBFAF7"/>
            <w:tcMar>
              <w:top w:type="dxa" w:w="180"/>
              <w:left w:type="dxa" w:w="220"/>
              <w:bottom w:type="dxa" w:w="18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142B4B"/>
                <w:sz w:val="20"/>
                <w:szCs w:val="20"/>
              </w:rPr>
              <w:t xml:space="preserve">Novo processo distribuído — Banco Beta S/A</w:t>
            </w:r>
          </w:p>
          <w:p>
            <w:pPr>
              <w:spacing w:after="110" w:before="90"/>
            </w:pPr>
            <w:r>
              <w:rPr>
                <w:rFonts w:ascii="Arial" w:cs="Arial" w:eastAsia="Arial" w:hAnsi="Arial"/>
                <w:color w:val="2A3140"/>
                <w:sz w:val="18"/>
                <w:szCs w:val="18"/>
              </w:rPr>
              <w:t xml:space="preserve">Entrou na carteira um novo processo cível envolvendo o Banco Beta S/A, com valor da causa de R$ 2.000.000,00 e provisão inicial de R$ 500.000,00. Por se tratar do maior valor individual do mês, recomenda-se acompanhamento prioritário.</w:t>
            </w:r>
          </w:p>
          <w:p>
            <w:r>
              <w:rPr>
                <w:rFonts w:ascii="Arial" w:cs="Arial" w:eastAsia="Arial" w:hAnsi="Arial"/>
                <w:color w:val="7A8394"/>
                <w:spacing w:val="8"/>
                <w:sz w:val="13"/>
                <w:szCs w:val="13"/>
              </w:rPr>
              <w:t xml:space="preserve">FONTE — Andamento da planilha</w:t>
            </w:r>
          </w:p>
        </w:tc>
      </w:tr>
    </w:tbl>
    <w:p>
      <w:pPr>
        <w:pBdr>
          <w:bottom w:val="single" w:color="9C7C3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2B4B"/>
          <w:spacing w:val="20"/>
          <w:sz w:val="20"/>
          <w:szCs w:val="20"/>
        </w:rPr>
        <w:t xml:space="preserve">MOVIMENTAÇÕES DETALHADAS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"/>
                <w:sz w:val="13"/>
                <w:szCs w:val="13"/>
              </w:rPr>
              <w:t xml:space="preserve">TIPO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"/>
                <w:sz w:val="13"/>
                <w:szCs w:val="13"/>
              </w:rPr>
              <w:t xml:space="preserve">PARTE / PROCESSO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"/>
                <w:sz w:val="13"/>
                <w:szCs w:val="13"/>
              </w:rPr>
              <w:t xml:space="preserve">ÁREA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"/>
                <w:sz w:val="13"/>
                <w:szCs w:val="13"/>
              </w:rPr>
              <w:t xml:space="preserve">VALOR ATUAL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"/>
                <w:sz w:val="13"/>
                <w:szCs w:val="13"/>
              </w:rPr>
              <w:t xml:space="preserve">VARIAÇÃO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B4B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8"/>
                <w:sz w:val="13"/>
                <w:szCs w:val="13"/>
              </w:rPr>
              <w:t xml:space="preserve">SITUAÇÃO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42B4B"/>
              </w:rPr>
              <w:t xml:space="preserve"> NOVO 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Banco Beta S/A</w:t>
            </w:r>
          </w:p>
          <w:p>
            <w:r>
              <w:rPr>
                <w:rFonts w:ascii="Courier New" w:cs="Courier New" w:eastAsia="Courier New" w:hAnsi="Courier New"/>
                <w:color w:val="7A8394"/>
                <w:sz w:val="13"/>
                <w:szCs w:val="13"/>
              </w:rPr>
              <w:t xml:space="preserve">0009999-00.2025.8.26.0500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44546A"/>
                <w:sz w:val="15"/>
                <w:szCs w:val="15"/>
              </w:rPr>
              <w:t xml:space="preserve">Cível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2B4B"/>
                <w:sz w:val="16"/>
                <w:szCs w:val="16"/>
              </w:rPr>
              <w:t xml:space="preserve">R$ 2.000.000,00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7A8394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46A"/>
                <w:sz w:val="15"/>
                <w:szCs w:val="15"/>
              </w:rPr>
              <w:t xml:space="preserve">Distribuído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AFAFB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F26"/>
                <w:sz w:val="12"/>
                <w:szCs w:val="12"/>
                <w:shd w:fill="EFE6D2"/>
              </w:rPr>
              <w:t xml:space="preserve"> ALTERAÇÃO 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AFAFB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João da Silva</w:t>
            </w:r>
          </w:p>
          <w:p>
            <w:r>
              <w:rPr>
                <w:rFonts w:ascii="Courier New" w:cs="Courier New" w:eastAsia="Courier New" w:hAnsi="Courier New"/>
                <w:color w:val="7A8394"/>
                <w:sz w:val="13"/>
                <w:szCs w:val="13"/>
              </w:rPr>
              <w:t xml:space="preserve">0001234-56.2024.5.02.0001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AFAFB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44546A"/>
                <w:sz w:val="15"/>
                <w:szCs w:val="15"/>
              </w:rPr>
              <w:t xml:space="preserve">Trabalhista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AFAFB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2B4B"/>
                <w:sz w:val="16"/>
                <w:szCs w:val="16"/>
              </w:rPr>
              <w:t xml:space="preserve">R$ 1.500.000,00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AFAFB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3B3B"/>
                <w:sz w:val="15"/>
                <w:szCs w:val="15"/>
              </w:rPr>
              <w:t xml:space="preserve">▲ R$ 250.000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AFAFB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46A"/>
                <w:sz w:val="15"/>
                <w:szCs w:val="15"/>
              </w:rPr>
              <w:t xml:space="preserve">Em andamento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F6B4F"/>
                <w:sz w:val="12"/>
                <w:szCs w:val="12"/>
                <w:shd w:fill="E4EDE7"/>
              </w:rPr>
              <w:t xml:space="preserve"> ACORDO 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Maria Souza</w:t>
            </w:r>
          </w:p>
          <w:p>
            <w:r>
              <w:rPr>
                <w:rFonts w:ascii="Courier New" w:cs="Courier New" w:eastAsia="Courier New" w:hAnsi="Courier New"/>
                <w:color w:val="7A8394"/>
                <w:sz w:val="13"/>
                <w:szCs w:val="13"/>
              </w:rPr>
              <w:t xml:space="preserve">0003210-99.2022.8.26.0002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44546A"/>
                <w:sz w:val="15"/>
                <w:szCs w:val="15"/>
              </w:rPr>
              <w:t xml:space="preserve">Cível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2B4B"/>
                <w:sz w:val="16"/>
                <w:szCs w:val="16"/>
              </w:rPr>
              <w:t xml:space="preserve">R$ 85.000,00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A5F26"/>
                <w:sz w:val="15"/>
                <w:szCs w:val="15"/>
              </w:rPr>
              <w:t xml:space="preserve">status alterado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5EA" w:sz="2"/>
              <w:right w:val="none" w:color="FFFFFF" w:sz="0"/>
            </w:tcBorders>
            <w:shd w:fill="FFFFFF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546A"/>
                <w:sz w:val="15"/>
                <w:szCs w:val="15"/>
              </w:rPr>
              <w:t xml:space="preserve">Acordo homologado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i/>
          <w:iCs/>
          <w:color w:val="7A8394"/>
          <w:sz w:val="15"/>
          <w:szCs w:val="15"/>
        </w:rPr>
        <w:t xml:space="preserve">2 documento(s) de apoio anexado(s) e referenciado(s) nesta análise.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A" w:sz="3" w:space="6"/>
      </w:pBdr>
      <w:jc w:val="center"/>
    </w:pPr>
    <w:r>
      <w:rPr>
        <w:rFonts w:ascii="Arial" w:cs="Arial" w:eastAsia="Arial" w:hAnsi="Arial"/>
        <w:color w:val="7A8394"/>
        <w:sz w:val="13"/>
        <w:szCs w:val="13"/>
      </w:rPr>
      <w:t xml:space="preserve">Portal de Relatórios · Abrahão Advogados</w:t>
    </w:r>
    <w:r>
      <w:rPr>
        <w:rFonts w:ascii="Arial" w:cs="Arial" w:eastAsia="Arial" w:hAnsi="Arial"/>
        <w:color w:val="7A8394"/>
        <w:sz w:val="13"/>
        <w:szCs w:val="13"/>
      </w:rPr>
      <w:t xml:space="preserve">   —   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single" w:color="E2E5EA" w:sz="3"/>
            <w:right w:val="none" w:color="FFFFFF" w:sz="0"/>
          </w:tcBorders>
          <w:tcMar>
            <w:top w:type="dxa" w:w="0"/>
            <w:left w:type="dxa" w:w="0"/>
            <w:bottom w:type="dxa" w:w="120"/>
            <w:right w:type="dxa" w:w="0"/>
          </w:tcMar>
        </w:tcPr>
        <w:p>
          <w:r>
            <w:rPr>
              <w:rFonts w:ascii="Arial" w:cs="Arial" w:eastAsia="Arial" w:hAnsi="Arial"/>
              <w:color w:val="7A8394"/>
              <w:sz w:val="14"/>
              <w:szCs w:val="14"/>
            </w:rPr>
            <w:t xml:space="preserve">Relatório Executivo — Construtora Alfa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single" w:color="E2E5EA" w:sz="3"/>
            <w:right w:val="none" w:color="FFFFFF" w:sz="0"/>
          </w:tcBorders>
          <w:tcMar>
            <w:top w:type="dxa" w:w="0"/>
            <w:left w:type="dxa" w:w="0"/>
            <w:bottom w:type="dxa" w:w="12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A8394"/>
              <w:sz w:val="14"/>
              <w:szCs w:val="14"/>
            </w:rPr>
            <w:t xml:space="preserve">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be697a9ed20c6d0ef5469c83252035e72728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2026-07-16T01:34:16.012Z</dcterms:created>
  <dcterms:modified xsi:type="dcterms:W3CDTF">2026-07-16T01:34:16.012Z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