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rFonts w:ascii="Aptos" w:hAnsi="Aptos"/>
          <w:b/>
          <w:color w:val="000000"/>
          <w:sz w:val="50"/>
        </w:rPr>
        <w:t>FORGE Version 0 1 Beta Update Log</w:t>
      </w:r>
    </w:p>
    <w:p>
      <w:pPr>
        <w:spacing w:after="300"/>
      </w:pPr>
      <w:r>
        <w:rPr>
          <w:rFonts w:ascii="Aptos" w:hAnsi="Aptos"/>
          <w:b w:val="0"/>
          <w:color w:val="5C5C5C"/>
          <w:sz w:val="22"/>
        </w:rPr>
        <w:t>Implementation summary and handoff notes</w:t>
      </w:r>
    </w:p>
    <w:p>
      <w:pPr>
        <w:spacing w:before="0" w:after="220" w:line="283" w:lineRule="auto"/>
      </w:pPr>
      <w:r>
        <w:rPr>
          <w:rFonts w:ascii="Aptos" w:hAnsi="Aptos"/>
          <w:b w:val="0"/>
          <w:color w:val="292929"/>
          <w:sz w:val="21"/>
        </w:rPr>
        <w:t>FORGE v0.1 Beta is a complete local Next.js prototype for gamified productivity and skill development. The beta implements the planned loop from campaign selection through focused work, quest completion, XP gain, and dashboard progress. It uses mock data only and keeps the codebase ready for future persistence, accounts, AI generation, and native mobile work.</w:t>
      </w:r>
    </w:p>
    <w:p>
      <w:pPr>
        <w:pStyle w:val="Heading1"/>
        <w:spacing w:before="300" w:after="120"/>
      </w:pPr>
      <w:r>
        <w:rPr>
          <w:rFonts w:ascii="Aptos" w:hAnsi="Aptos"/>
          <w:b/>
          <w:color w:val="000000"/>
          <w:sz w:val="28"/>
        </w:rPr>
        <w:t>Current Scope</w:t>
      </w:r>
    </w:p>
    <w:tbl>
      <w:tblPr>
        <w:tblW w:type="auto" w:w="0"/>
        <w:jc w:val="center"/>
        <w:tblLayout w:type="fixed"/>
        <w:tblLook w:firstColumn="1" w:firstRow="1" w:lastColumn="0" w:lastRow="0" w:noHBand="0" w:noVBand="1" w:val="04A0"/>
      </w:tblPr>
      <w:tblGrid>
        <w:gridCol w:w="4997"/>
        <w:gridCol w:w="4997"/>
      </w:tblGrid>
      <w:tr>
        <w:tc>
          <w:tcPr>
            <w:tcW w:type="dxa" w:w="1728"/>
            <w:vAlign w:val="center"/>
            <w:shd w:fill="2C2C2C"/>
            <w:tcBorders>
              <w:top w:val="single" w:sz="6" w:color="BFBFBF"/>
              <w:left w:val="single" w:sz="6" w:color="BFBFBF"/>
              <w:bottom w:val="single" w:sz="6" w:color="BFBFBF"/>
              <w:right w:val="single" w:sz="6" w:color="BFBFBF"/>
            </w:tcBorders>
            <w:tcMar>
              <w:top w:w="100" w:type="dxa"/>
              <w:start w:w="110" w:type="dxa"/>
              <w:bottom w:w="100" w:type="dxa"/>
              <w:end w:w="110" w:type="dxa"/>
            </w:tcMar>
          </w:tcPr>
          <w:p>
            <w:pPr>
              <w:spacing w:after="0"/>
              <w:jc w:val="left"/>
            </w:pPr>
            <w:r>
              <w:rPr>
                <w:rFonts w:ascii="Aptos" w:hAnsi="Aptos"/>
                <w:b/>
                <w:color w:val="FFFFFF"/>
                <w:sz w:val="19"/>
              </w:rPr>
              <w:t>Route</w:t>
            </w:r>
          </w:p>
        </w:tc>
        <w:tc>
          <w:tcPr>
            <w:tcW w:type="dxa" w:w="7992"/>
            <w:vAlign w:val="center"/>
            <w:shd w:fill="2C2C2C"/>
            <w:tcBorders>
              <w:top w:val="single" w:sz="6" w:color="BFBFBF"/>
              <w:left w:val="single" w:sz="6" w:color="BFBFBF"/>
              <w:bottom w:val="single" w:sz="6" w:color="BFBFBF"/>
              <w:right w:val="single" w:sz="6" w:color="BFBFBF"/>
            </w:tcBorders>
            <w:tcMar>
              <w:top w:w="100" w:type="dxa"/>
              <w:start w:w="110" w:type="dxa"/>
              <w:bottom w:w="100" w:type="dxa"/>
              <w:end w:w="110" w:type="dxa"/>
            </w:tcMar>
          </w:tcPr>
          <w:p>
            <w:pPr>
              <w:spacing w:after="0"/>
              <w:jc w:val="left"/>
            </w:pPr>
            <w:r>
              <w:rPr>
                <w:rFonts w:ascii="Aptos" w:hAnsi="Aptos"/>
                <w:b/>
                <w:color w:val="FFFFFF"/>
                <w:sz w:val="19"/>
              </w:rPr>
              <w:t>Purpose</w:t>
            </w:r>
          </w:p>
        </w:tc>
      </w:tr>
      <w:tr>
        <w:tc>
          <w:tcPr>
            <w:tcW w:type="dxa" w:w="1728"/>
            <w:vAlign w:val="center"/>
            <w:shd w:fill="FFFFFF"/>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w:t>
            </w:r>
          </w:p>
        </w:tc>
        <w:tc>
          <w:tcPr>
            <w:tcW w:type="dxa" w:w="7992"/>
            <w:vAlign w:val="center"/>
            <w:shd w:fill="FFFFFF"/>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Product entry page with the beta concept and campaign entry points.</w:t>
            </w:r>
          </w:p>
        </w:tc>
      </w:tr>
      <w:tr>
        <w:tc>
          <w:tcPr>
            <w:tcW w:type="dxa" w:w="1728"/>
            <w:vAlign w:val="center"/>
            <w:shd w:fill="F5F5F5"/>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/dashboard</w:t>
            </w:r>
          </w:p>
        </w:tc>
        <w:tc>
          <w:tcPr>
            <w:tcW w:type="dxa" w:w="7992"/>
            <w:vAlign w:val="center"/>
            <w:shd w:fill="F5F5F5"/>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Shows level, XP progress, streak, active campaign, next quest, and quest board.</w:t>
            </w:r>
          </w:p>
        </w:tc>
      </w:tr>
      <w:tr>
        <w:tc>
          <w:tcPr>
            <w:tcW w:type="dxa" w:w="1728"/>
            <w:vAlign w:val="center"/>
            <w:shd w:fill="FFFFFF"/>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/campaign</w:t>
            </w:r>
          </w:p>
        </w:tc>
        <w:tc>
          <w:tcPr>
            <w:tcW w:type="dxa" w:w="7992"/>
            <w:vAlign w:val="center"/>
            <w:shd w:fill="FFFFFF"/>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Shows the Python Developer campaign, available quests, progress, and the upcoming boss quest.</w:t>
            </w:r>
          </w:p>
        </w:tc>
      </w:tr>
      <w:tr>
        <w:tc>
          <w:tcPr>
            <w:tcW w:type="dxa" w:w="1728"/>
            <w:vAlign w:val="center"/>
            <w:shd w:fill="F5F5F5"/>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/focus</w:t>
            </w:r>
          </w:p>
        </w:tc>
        <w:tc>
          <w:tcPr>
            <w:tcW w:type="dxa" w:w="7992"/>
            <w:vAlign w:val="center"/>
            <w:shd w:fill="F5F5F5"/>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Runs a quest-specific focus session with a countdown timer and a completion action.</w:t>
            </w:r>
          </w:p>
        </w:tc>
      </w:tr>
      <w:tr>
        <w:tc>
          <w:tcPr>
            <w:tcW w:type="dxa" w:w="1728"/>
            <w:vAlign w:val="center"/>
            <w:shd w:fill="FFFFFF"/>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/complete</w:t>
            </w:r>
          </w:p>
        </w:tc>
        <w:tc>
          <w:tcPr>
            <w:tcW w:type="dxa" w:w="7992"/>
            <w:vAlign w:val="center"/>
            <w:shd w:fill="FFFFFF"/>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Shows quest completion, XP earned, and links back to progress or the campaign.</w:t>
            </w:r>
          </w:p>
        </w:tc>
      </w:tr>
    </w:tbl>
    <w:p>
      <w:pPr>
        <w:spacing w:after="0"/>
      </w:pPr>
    </w:p>
    <w:p>
      <w:pPr>
        <w:pStyle w:val="Heading1"/>
        <w:spacing w:before="300" w:after="120"/>
      </w:pPr>
      <w:r>
        <w:rPr>
          <w:rFonts w:ascii="Aptos" w:hAnsi="Aptos"/>
          <w:b/>
          <w:color w:val="000000"/>
          <w:sz w:val="28"/>
        </w:rPr>
        <w:t>Core Product Loop</w:t>
      </w:r>
    </w:p>
    <w:p>
      <w:pPr>
        <w:spacing w:before="0" w:after="140" w:line="283" w:lineRule="auto"/>
      </w:pPr>
      <w:r>
        <w:rPr>
          <w:rFonts w:ascii="Aptos" w:hAnsi="Aptos"/>
          <w:b w:val="0"/>
          <w:color w:val="292929"/>
          <w:sz w:val="21"/>
        </w:rPr>
        <w:t>A user opens the dashboard, selects a quest, and enters a focus session. Completing the session records the quest in the in-memory beta state, adds the quest reward to XP, and presents the completion screen. Returning to the dashboard shows the updated XP total, cleared quest count, campaign progress, and completed quest state.</w:t>
      </w:r>
    </w:p>
    <w:p>
      <w:pPr>
        <w:pStyle w:val="Heading1"/>
        <w:spacing w:before="300" w:after="120"/>
      </w:pPr>
      <w:r>
        <w:rPr>
          <w:rFonts w:ascii="Aptos" w:hAnsi="Aptos"/>
          <w:b/>
          <w:color w:val="000000"/>
          <w:sz w:val="28"/>
        </w:rPr>
        <w:t>Reusable Components</w:t>
      </w:r>
    </w:p>
    <w:tbl>
      <w:tblPr>
        <w:tblW w:type="auto" w:w="0"/>
        <w:jc w:val="center"/>
        <w:tblLayout w:type="fixed"/>
        <w:tblLook w:firstColumn="1" w:firstRow="1" w:lastColumn="0" w:lastRow="0" w:noHBand="0" w:noVBand="1" w:val="04A0"/>
      </w:tblPr>
      <w:tblGrid>
        <w:gridCol w:w="4997"/>
        <w:gridCol w:w="4997"/>
      </w:tblGrid>
      <w:tr>
        <w:tc>
          <w:tcPr>
            <w:tcW w:type="dxa" w:w="2304"/>
            <w:vAlign w:val="center"/>
            <w:shd w:fill="2C2C2C"/>
            <w:tcBorders>
              <w:top w:val="single" w:sz="6" w:color="BFBFBF"/>
              <w:left w:val="single" w:sz="6" w:color="BFBFBF"/>
              <w:bottom w:val="single" w:sz="6" w:color="BFBFBF"/>
              <w:right w:val="single" w:sz="6" w:color="BFBFBF"/>
            </w:tcBorders>
            <w:tcMar>
              <w:top w:w="100" w:type="dxa"/>
              <w:start w:w="110" w:type="dxa"/>
              <w:bottom w:w="100" w:type="dxa"/>
              <w:end w:w="110" w:type="dxa"/>
            </w:tcMar>
          </w:tcPr>
          <w:p>
            <w:pPr>
              <w:spacing w:after="0"/>
              <w:jc w:val="left"/>
            </w:pPr>
            <w:r>
              <w:rPr>
                <w:rFonts w:ascii="Aptos" w:hAnsi="Aptos"/>
                <w:b/>
                <w:color w:val="FFFFFF"/>
                <w:sz w:val="19"/>
              </w:rPr>
              <w:t>Component</w:t>
            </w:r>
          </w:p>
        </w:tc>
        <w:tc>
          <w:tcPr>
            <w:tcW w:type="dxa" w:w="7416"/>
            <w:vAlign w:val="center"/>
            <w:shd w:fill="2C2C2C"/>
            <w:tcBorders>
              <w:top w:val="single" w:sz="6" w:color="BFBFBF"/>
              <w:left w:val="single" w:sz="6" w:color="BFBFBF"/>
              <w:bottom w:val="single" w:sz="6" w:color="BFBFBF"/>
              <w:right w:val="single" w:sz="6" w:color="BFBFBF"/>
            </w:tcBorders>
            <w:tcMar>
              <w:top w:w="100" w:type="dxa"/>
              <w:start w:w="110" w:type="dxa"/>
              <w:bottom w:w="100" w:type="dxa"/>
              <w:end w:w="110" w:type="dxa"/>
            </w:tcMar>
          </w:tcPr>
          <w:p>
            <w:pPr>
              <w:spacing w:after="0"/>
              <w:jc w:val="left"/>
            </w:pPr>
            <w:r>
              <w:rPr>
                <w:rFonts w:ascii="Aptos" w:hAnsi="Aptos"/>
                <w:b/>
                <w:color w:val="FFFFFF"/>
                <w:sz w:val="19"/>
              </w:rPr>
              <w:t>Role</w:t>
            </w:r>
          </w:p>
        </w:tc>
      </w:tr>
      <w:tr>
        <w:tc>
          <w:tcPr>
            <w:tcW w:type="dxa" w:w="2304"/>
            <w:vAlign w:val="center"/>
            <w:shd w:fill="FFFFFF"/>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XPBar</w:t>
            </w:r>
          </w:p>
        </w:tc>
        <w:tc>
          <w:tcPr>
            <w:tcW w:type="dxa" w:w="7416"/>
            <w:vAlign w:val="center"/>
            <w:shd w:fill="FFFFFF"/>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Displays current XP against the next level target.</w:t>
            </w:r>
          </w:p>
        </w:tc>
      </w:tr>
      <w:tr>
        <w:tc>
          <w:tcPr>
            <w:tcW w:type="dxa" w:w="2304"/>
            <w:vAlign w:val="center"/>
            <w:shd w:fill="F5F5F5"/>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QuestCard</w:t>
            </w:r>
          </w:p>
        </w:tc>
        <w:tc>
          <w:tcPr>
            <w:tcW w:type="dxa" w:w="7416"/>
            <w:vAlign w:val="center"/>
            <w:shd w:fill="F5F5F5"/>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Presents difficulty, focus duration, XP reward, completion state, and start action.</w:t>
            </w:r>
          </w:p>
        </w:tc>
      </w:tr>
      <w:tr>
        <w:tc>
          <w:tcPr>
            <w:tcW w:type="dxa" w:w="2304"/>
            <w:vAlign w:val="center"/>
            <w:shd w:fill="FFFFFF"/>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CampaignCard</w:t>
            </w:r>
          </w:p>
        </w:tc>
        <w:tc>
          <w:tcPr>
            <w:tcW w:type="dxa" w:w="7416"/>
            <w:vAlign w:val="center"/>
            <w:shd w:fill="FFFFFF"/>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Shows the active campaign, completion progress, and campaign entry point.</w:t>
            </w:r>
          </w:p>
        </w:tc>
      </w:tr>
      <w:tr>
        <w:tc>
          <w:tcPr>
            <w:tcW w:type="dxa" w:w="2304"/>
            <w:vAlign w:val="center"/>
            <w:shd w:fill="F5F5F5"/>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StatCard</w:t>
            </w:r>
          </w:p>
        </w:tc>
        <w:tc>
          <w:tcPr>
            <w:tcW w:type="dxa" w:w="7416"/>
            <w:vAlign w:val="center"/>
            <w:shd w:fill="F5F5F5"/>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Displays streak, focus time, and cleared quest statistics.</w:t>
            </w:r>
          </w:p>
        </w:tc>
      </w:tr>
      <w:tr>
        <w:tc>
          <w:tcPr>
            <w:tcW w:type="dxa" w:w="2304"/>
            <w:vAlign w:val="center"/>
            <w:shd w:fill="FFFFFF"/>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FocusTimer</w:t>
            </w:r>
          </w:p>
        </w:tc>
        <w:tc>
          <w:tcPr>
            <w:tcW w:type="dxa" w:w="7416"/>
            <w:vAlign w:val="center"/>
            <w:shd w:fill="FFFFFF"/>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Runs the focus countdown with pause, reset, and completion behavior.</w:t>
            </w:r>
          </w:p>
        </w:tc>
      </w:tr>
    </w:tbl>
    <w:p>
      <w:pPr>
        <w:spacing w:after="0"/>
      </w:pPr>
    </w:p>
    <w:p>
      <w:pPr>
        <w:pStyle w:val="Heading1"/>
        <w:spacing w:before="300" w:after="120"/>
      </w:pPr>
      <w:r>
        <w:rPr>
          <w:rFonts w:ascii="Aptos" w:hAnsi="Aptos"/>
          <w:b/>
          <w:color w:val="000000"/>
          <w:sz w:val="28"/>
        </w:rPr>
        <w:t>Mock Data and Boundaries</w:t>
      </w:r>
    </w:p>
    <w:p>
      <w:pPr>
        <w:spacing w:before="0" w:after="140" w:line="283" w:lineRule="auto"/>
      </w:pPr>
      <w:r>
        <w:rPr>
          <w:rFonts w:ascii="Aptos" w:hAnsi="Aptos"/>
          <w:b w:val="0"/>
          <w:color w:val="292929"/>
          <w:sz w:val="21"/>
        </w:rPr>
        <w:t>The beta includes a Python Developer campaign with three available practice quests and one upcoming boss quest. Mock data defines the user profile, level, XP, streak, campaign metadata, quest difficulty, reward, duration, and focus prompt. Progress exists only for the current browser session. The project does not include authentication, a database, AI APIs, payments, social features, leaderboards, or screen-time blocking.</w:t>
      </w:r>
    </w:p>
    <w:p>
      <w:pPr>
        <w:pStyle w:val="Heading1"/>
        <w:spacing w:before="300" w:after="120"/>
      </w:pPr>
      <w:r>
        <w:rPr>
          <w:rFonts w:ascii="Aptos" w:hAnsi="Aptos"/>
          <w:b/>
          <w:color w:val="000000"/>
          <w:sz w:val="28"/>
        </w:rPr>
        <w:t>Project Structure</w:t>
      </w:r>
    </w:p>
    <w:tbl>
      <w:tblPr>
        <w:tblW w:type="auto" w:w="0"/>
        <w:jc w:val="center"/>
        <w:tblLayout w:type="fixed"/>
        <w:tblLook w:firstColumn="1" w:firstRow="1" w:lastColumn="0" w:lastRow="0" w:noHBand="0" w:noVBand="1" w:val="04A0"/>
      </w:tblPr>
      <w:tblGrid>
        <w:gridCol w:w="4997"/>
        <w:gridCol w:w="4997"/>
      </w:tblGrid>
      <w:tr>
        <w:tc>
          <w:tcPr>
            <w:tcW w:type="dxa" w:w="2304"/>
            <w:vAlign w:val="center"/>
            <w:shd w:fill="2C2C2C"/>
            <w:tcBorders>
              <w:top w:val="single" w:sz="6" w:color="BFBFBF"/>
              <w:left w:val="single" w:sz="6" w:color="BFBFBF"/>
              <w:bottom w:val="single" w:sz="6" w:color="BFBFBF"/>
              <w:right w:val="single" w:sz="6" w:color="BFBFBF"/>
            </w:tcBorders>
            <w:tcMar>
              <w:top w:w="100" w:type="dxa"/>
              <w:start w:w="110" w:type="dxa"/>
              <w:bottom w:w="100" w:type="dxa"/>
              <w:end w:w="110" w:type="dxa"/>
            </w:tcMar>
          </w:tcPr>
          <w:p>
            <w:pPr>
              <w:spacing w:after="0"/>
              <w:jc w:val="left"/>
            </w:pPr>
            <w:r>
              <w:rPr>
                <w:rFonts w:ascii="Aptos" w:hAnsi="Aptos"/>
                <w:b/>
                <w:color w:val="FFFFFF"/>
                <w:sz w:val="19"/>
              </w:rPr>
              <w:t>Location</w:t>
            </w:r>
          </w:p>
        </w:tc>
        <w:tc>
          <w:tcPr>
            <w:tcW w:type="dxa" w:w="7416"/>
            <w:vAlign w:val="center"/>
            <w:shd w:fill="2C2C2C"/>
            <w:tcBorders>
              <w:top w:val="single" w:sz="6" w:color="BFBFBF"/>
              <w:left w:val="single" w:sz="6" w:color="BFBFBF"/>
              <w:bottom w:val="single" w:sz="6" w:color="BFBFBF"/>
              <w:right w:val="single" w:sz="6" w:color="BFBFBF"/>
            </w:tcBorders>
            <w:tcMar>
              <w:top w:w="100" w:type="dxa"/>
              <w:start w:w="110" w:type="dxa"/>
              <w:bottom w:w="100" w:type="dxa"/>
              <w:end w:w="110" w:type="dxa"/>
            </w:tcMar>
          </w:tcPr>
          <w:p>
            <w:pPr>
              <w:spacing w:after="0"/>
              <w:jc w:val="left"/>
            </w:pPr>
            <w:r>
              <w:rPr>
                <w:rFonts w:ascii="Aptos" w:hAnsi="Aptos"/>
                <w:b/>
                <w:color w:val="FFFFFF"/>
                <w:sz w:val="19"/>
              </w:rPr>
              <w:t>Contents</w:t>
            </w:r>
          </w:p>
        </w:tc>
      </w:tr>
      <w:tr>
        <w:tc>
          <w:tcPr>
            <w:tcW w:type="dxa" w:w="2304"/>
            <w:vAlign w:val="center"/>
            <w:shd w:fill="FFFFFF"/>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app</w:t>
            </w:r>
          </w:p>
        </w:tc>
        <w:tc>
          <w:tcPr>
            <w:tcW w:type="dxa" w:w="7416"/>
            <w:vAlign w:val="center"/>
            <w:shd w:fill="FFFFFF"/>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App Router pages, root layout, and global styling.</w:t>
            </w:r>
          </w:p>
        </w:tc>
      </w:tr>
      <w:tr>
        <w:tc>
          <w:tcPr>
            <w:tcW w:type="dxa" w:w="2304"/>
            <w:vAlign w:val="center"/>
            <w:shd w:fill="F5F5F5"/>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components</w:t>
            </w:r>
          </w:p>
        </w:tc>
        <w:tc>
          <w:tcPr>
            <w:tcW w:type="dxa" w:w="7416"/>
            <w:vAlign w:val="center"/>
            <w:shd w:fill="F5F5F5"/>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Reusable UI cards, navigation, timer, XP bar, and in-memory progress provider.</w:t>
            </w:r>
          </w:p>
        </w:tc>
      </w:tr>
      <w:tr>
        <w:tc>
          <w:tcPr>
            <w:tcW w:type="dxa" w:w="2304"/>
            <w:vAlign w:val="center"/>
            <w:shd w:fill="FFFFFF"/>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lib</w:t>
            </w:r>
          </w:p>
        </w:tc>
        <w:tc>
          <w:tcPr>
            <w:tcW w:type="dxa" w:w="7416"/>
            <w:vAlign w:val="center"/>
            <w:shd w:fill="FFFFFF"/>
            <w:tcBorders>
              <w:top w:val="single" w:sz="6" w:color="D9D9D9"/>
              <w:left w:val="single" w:sz="6" w:color="D9D9D9"/>
              <w:bottom w:val="single" w:sz="6" w:color="D9D9D9"/>
              <w:right w:val="single" w:sz="6" w:color="D9D9D9"/>
            </w:tcBorders>
            <w:tcMar>
              <w:top w:w="100" w:type="dxa"/>
              <w:start w:w="110" w:type="dxa"/>
              <w:bottom w:w="100" w:type="dxa"/>
              <w:end w:w="110" w:type="dxa"/>
            </w:tcMar>
          </w:tcPr>
          <w:p>
            <w:pPr>
              <w:spacing w:after="0" w:line="259" w:lineRule="auto"/>
            </w:pPr>
            <w:r>
              <w:rPr>
                <w:rFonts w:ascii="Aptos" w:hAnsi="Aptos"/>
                <w:b w:val="0"/>
                <w:color w:val="242424"/>
                <w:sz w:val="19"/>
              </w:rPr>
              <w:t>Mock user, campaign, quest data, and shared TypeScript types.</w:t>
            </w:r>
          </w:p>
        </w:tc>
      </w:tr>
    </w:tbl>
    <w:p>
      <w:pPr>
        <w:spacing w:after="0"/>
      </w:pPr>
    </w:p>
    <w:p>
      <w:pPr>
        <w:pStyle w:val="Heading1"/>
        <w:spacing w:before="300" w:after="120"/>
      </w:pPr>
      <w:r>
        <w:rPr>
          <w:rFonts w:ascii="Aptos" w:hAnsi="Aptos"/>
          <w:b/>
          <w:color w:val="000000"/>
          <w:sz w:val="28"/>
        </w:rPr>
        <w:t>Verification</w:t>
      </w:r>
    </w:p>
    <w:p>
      <w:pPr>
        <w:spacing w:before="0" w:after="140" w:line="283" w:lineRule="auto"/>
      </w:pPr>
      <w:r>
        <w:rPr>
          <w:rFonts w:ascii="Aptos" w:hAnsi="Aptos"/>
          <w:b w:val="0"/>
          <w:color w:val="292929"/>
          <w:sz w:val="21"/>
        </w:rPr>
        <w:t>The project passed ESLint and a production Next.js build. All requested routes are statically generated successfully. The implementation uses standard Next.js, React, TypeScript, and Tailwind packages with no additional runtime dependencies.</w:t>
      </w:r>
    </w:p>
    <w:p>
      <w:pPr>
        <w:pStyle w:val="Heading1"/>
        <w:spacing w:before="300" w:after="120"/>
      </w:pPr>
      <w:r>
        <w:rPr>
          <w:rFonts w:ascii="Aptos" w:hAnsi="Aptos"/>
          <w:b/>
          <w:color w:val="000000"/>
          <w:sz w:val="28"/>
        </w:rPr>
        <w:t>Recommended Next Work</w:t>
      </w:r>
    </w:p>
    <w:p>
      <w:pPr>
        <w:spacing w:before="0" w:after="140" w:line="283" w:lineRule="auto"/>
      </w:pPr>
      <w:r>
        <w:rPr>
          <w:rFonts w:ascii="Aptos" w:hAnsi="Aptos"/>
          <w:b w:val="0"/>
          <w:color w:val="292929"/>
          <w:sz w:val="21"/>
        </w:rPr>
        <w:t>Future work can replace the in-memory provider with persistent user progress, add campaign creation, and connect account or AI features without changing the current route and component boundaries. Those features are intentionally outside the v0.1 Beta scope.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center"/>
    </w:pPr>
    <w:r>
      <w:rPr>
        <w:rFonts w:ascii="Aptos" w:hAnsi="Aptos"/>
        <w:b w:val="0"/>
        <w:color w:val="777777"/>
        <w:sz w:val="16"/>
      </w:rPr>
      <w:t>FORGE Version 0 1 Beta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5C5C5C"/>
        <w:sz w:val="16"/>
      </w:rPr>
      <w:t>FORGE PRODUCT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