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85C4" w14:textId="7245E66C" w:rsidR="00D13090" w:rsidRDefault="00D13090" w:rsidP="00D13090"/>
    <w:p w14:paraId="43418B43" w14:textId="22DFD0FC" w:rsidR="00D13090" w:rsidRDefault="00D13090" w:rsidP="00D13090"/>
    <w:p w14:paraId="7F612909" w14:textId="4D704823" w:rsidR="00D13090" w:rsidRDefault="00D13090" w:rsidP="00D13090"/>
    <w:p w14:paraId="678C48F2" w14:textId="77777777" w:rsidR="00D13090" w:rsidRDefault="00D13090" w:rsidP="00D13090"/>
    <w:p w14:paraId="3E2F5A72" w14:textId="27CFE9DF" w:rsidR="00D13090" w:rsidRDefault="00D13090" w:rsidP="00D13090"/>
    <w:p w14:paraId="54217705" w14:textId="77777777" w:rsidR="00D13090" w:rsidRDefault="00D13090" w:rsidP="00D13090"/>
    <w:p w14:paraId="70C7A69F" w14:textId="36500305" w:rsidR="00D13090" w:rsidRDefault="00D13090" w:rsidP="00D13090"/>
    <w:p w14:paraId="3690A7F7" w14:textId="77777777" w:rsidR="00D13090" w:rsidRDefault="00D13090" w:rsidP="00D13090"/>
    <w:p w14:paraId="0EA268FD" w14:textId="77777777" w:rsidR="00D13090" w:rsidRPr="00D13090" w:rsidRDefault="00D13090" w:rsidP="00D13090">
      <w:pPr>
        <w:spacing w:after="60"/>
      </w:pPr>
    </w:p>
    <w:p w14:paraId="6050535C" w14:textId="519927B3" w:rsidR="00C21563" w:rsidRPr="00D13090" w:rsidRDefault="008033C8" w:rsidP="00D13090">
      <w:pPr>
        <w:tabs>
          <w:tab w:val="left" w:pos="2079"/>
        </w:tabs>
        <w:spacing w:before="240" w:after="48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Contratação Empresa Nexo</w:t>
      </w:r>
    </w:p>
    <w:p w14:paraId="1D4B4D77" w14:textId="77777777" w:rsidR="00D13090" w:rsidRDefault="00D13090" w:rsidP="00C21563">
      <w:pPr>
        <w:tabs>
          <w:tab w:val="left" w:pos="2079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049AD4AE" w14:textId="779929D9" w:rsidR="00C21563" w:rsidRPr="00712FAA" w:rsidRDefault="008033C8" w:rsidP="00D13090">
      <w:pPr>
        <w:tabs>
          <w:tab w:val="left" w:pos="2079"/>
        </w:tabs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Saúde Ocupacional e Segurança do Trabalho</w:t>
      </w:r>
    </w:p>
    <w:p w14:paraId="0D2956F4" w14:textId="2089986E" w:rsidR="00712FAA" w:rsidRPr="00A63C3F" w:rsidRDefault="008033C8" w:rsidP="00D13090">
      <w:pPr>
        <w:tabs>
          <w:tab w:val="left" w:pos="2079"/>
        </w:tabs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Análise do Projeto e Integração SAP HR e </w:t>
      </w:r>
      <w:proofErr w:type="spellStart"/>
      <w:r>
        <w:rPr>
          <w:rFonts w:asciiTheme="majorHAnsi" w:hAnsiTheme="majorHAnsi" w:cstheme="majorHAnsi"/>
          <w:sz w:val="24"/>
          <w:szCs w:val="24"/>
        </w:rPr>
        <w:t>FPw</w:t>
      </w:r>
      <w:proofErr w:type="spellEnd"/>
    </w:p>
    <w:p w14:paraId="7CD8EFF8" w14:textId="77777777" w:rsidR="00D13090" w:rsidRPr="00A63C3F" w:rsidRDefault="00D13090" w:rsidP="00D13090"/>
    <w:p w14:paraId="6D208C1E" w14:textId="7E9D5753" w:rsidR="00D13090" w:rsidRPr="00A63C3F" w:rsidRDefault="00D13090" w:rsidP="00D13090"/>
    <w:p w14:paraId="0DF9EA1A" w14:textId="47969766" w:rsidR="00D13090" w:rsidRPr="00A63C3F" w:rsidRDefault="00D13090" w:rsidP="00D13090"/>
    <w:p w14:paraId="773B077B" w14:textId="2E9AFB50" w:rsidR="00D13090" w:rsidRPr="00A63C3F" w:rsidRDefault="00D13090" w:rsidP="00D13090"/>
    <w:p w14:paraId="07BD3CAC" w14:textId="65D22543" w:rsidR="00D13090" w:rsidRPr="00A63C3F" w:rsidRDefault="00D13090" w:rsidP="00D13090"/>
    <w:p w14:paraId="49EC7A45" w14:textId="77777777" w:rsidR="00FA647C" w:rsidRPr="00A63C3F" w:rsidRDefault="00FA647C" w:rsidP="00D13090"/>
    <w:p w14:paraId="3A7AA61E" w14:textId="0E43A82B" w:rsidR="00D13090" w:rsidRPr="00A63C3F" w:rsidRDefault="00D13090" w:rsidP="00D13090"/>
    <w:p w14:paraId="549726E0" w14:textId="45BB547D" w:rsidR="00D13090" w:rsidRPr="00A63C3F" w:rsidRDefault="00D13090" w:rsidP="00D13090"/>
    <w:p w14:paraId="7DBDB7EC" w14:textId="77777777" w:rsidR="00D13090" w:rsidRPr="00A63C3F" w:rsidRDefault="00D13090" w:rsidP="00D13090"/>
    <w:p w14:paraId="431C5C7C" w14:textId="77777777" w:rsidR="00F9714D" w:rsidRPr="00BA3500" w:rsidRDefault="00F9714D" w:rsidP="00FA647C">
      <w:pPr>
        <w:spacing w:after="240"/>
        <w:rPr>
          <w:rFonts w:asciiTheme="majorHAnsi" w:eastAsiaTheme="majorEastAsia" w:hAnsiTheme="majorHAnsi" w:cstheme="majorBidi"/>
          <w:b/>
          <w:bCs/>
          <w:caps/>
          <w:snapToGrid w:val="0"/>
          <w:color w:val="4472C4" w:themeColor="accent5"/>
          <w:sz w:val="28"/>
          <w:szCs w:val="32"/>
        </w:rPr>
      </w:pPr>
      <w:r w:rsidRPr="00BA3500">
        <w:rPr>
          <w:rFonts w:asciiTheme="majorHAnsi" w:eastAsiaTheme="majorEastAsia" w:hAnsiTheme="majorHAnsi" w:cstheme="majorBidi"/>
          <w:b/>
          <w:bCs/>
          <w:caps/>
          <w:snapToGrid w:val="0"/>
          <w:color w:val="4472C4" w:themeColor="accent5"/>
          <w:sz w:val="28"/>
          <w:szCs w:val="32"/>
        </w:rPr>
        <w:t>Controle de versões</w:t>
      </w:r>
    </w:p>
    <w:tbl>
      <w:tblPr>
        <w:tblStyle w:val="TabeladeGrade4-nfase1"/>
        <w:tblW w:w="10201" w:type="dxa"/>
        <w:tblLook w:val="04A0" w:firstRow="1" w:lastRow="0" w:firstColumn="1" w:lastColumn="0" w:noHBand="0" w:noVBand="1"/>
      </w:tblPr>
      <w:tblGrid>
        <w:gridCol w:w="1458"/>
        <w:gridCol w:w="1089"/>
        <w:gridCol w:w="5386"/>
        <w:gridCol w:w="2268"/>
      </w:tblGrid>
      <w:tr w:rsidR="00F9714D" w14:paraId="574A786A" w14:textId="77777777" w:rsidTr="00B15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3214EBD2" w14:textId="77777777" w:rsidR="00F9714D" w:rsidRDefault="00F9714D" w:rsidP="00FA647C">
            <w:pPr>
              <w:spacing w:before="60" w:after="60"/>
              <w:jc w:val="center"/>
              <w:rPr>
                <w:rFonts w:eastAsia="Times New Roman" w:cs="Calibri"/>
                <w:bCs w:val="0"/>
                <w:color w:val="FFFFFF"/>
                <w:szCs w:val="20"/>
                <w:lang w:val="en-US"/>
              </w:rPr>
            </w:pPr>
            <w:bookmarkStart w:id="0" w:name="_Hlk46235491"/>
            <w:r>
              <w:rPr>
                <w:rFonts w:cs="Calibri"/>
                <w:color w:val="FFFFFF"/>
                <w:lang w:val="en-US"/>
              </w:rPr>
              <w:t>Data</w:t>
            </w:r>
          </w:p>
        </w:tc>
        <w:tc>
          <w:tcPr>
            <w:tcW w:w="1089" w:type="dxa"/>
            <w:hideMark/>
          </w:tcPr>
          <w:p w14:paraId="67A7AAE8" w14:textId="77777777" w:rsidR="00F9714D" w:rsidRPr="00D13090" w:rsidRDefault="00F9714D" w:rsidP="00FA647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  <w:szCs w:val="24"/>
              </w:rPr>
            </w:pPr>
            <w:r w:rsidRPr="00D13090">
              <w:rPr>
                <w:rFonts w:cs="Calibri"/>
                <w:color w:val="FFFFFF"/>
              </w:rPr>
              <w:t>Versão</w:t>
            </w:r>
          </w:p>
        </w:tc>
        <w:tc>
          <w:tcPr>
            <w:tcW w:w="5386" w:type="dxa"/>
            <w:hideMark/>
          </w:tcPr>
          <w:p w14:paraId="26547B65" w14:textId="77777777" w:rsidR="00F9714D" w:rsidRPr="00D13090" w:rsidRDefault="00F9714D" w:rsidP="00FA647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FFFFFF"/>
              </w:rPr>
            </w:pPr>
            <w:r w:rsidRPr="00D13090">
              <w:rPr>
                <w:rFonts w:cs="Calibri"/>
                <w:bCs w:val="0"/>
                <w:color w:val="FFFFFF"/>
              </w:rPr>
              <w:t>Descrição</w:t>
            </w:r>
          </w:p>
        </w:tc>
        <w:tc>
          <w:tcPr>
            <w:tcW w:w="2268" w:type="dxa"/>
            <w:hideMark/>
          </w:tcPr>
          <w:p w14:paraId="120EA7DD" w14:textId="77777777" w:rsidR="00F9714D" w:rsidRDefault="00F9714D" w:rsidP="00FA647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FFFF"/>
                <w:lang w:val="en-US"/>
              </w:rPr>
            </w:pPr>
            <w:r>
              <w:rPr>
                <w:rFonts w:cs="Calibri"/>
                <w:color w:val="FFFFFF"/>
                <w:lang w:val="en-US"/>
              </w:rPr>
              <w:t>Autor</w:t>
            </w:r>
          </w:p>
        </w:tc>
      </w:tr>
      <w:tr w:rsidR="00F9714D" w14:paraId="494F8108" w14:textId="77777777" w:rsidTr="00B15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5EFA5E03" w14:textId="732EA335" w:rsidR="00F9714D" w:rsidRPr="001C7C87" w:rsidRDefault="008033C8" w:rsidP="00FA647C">
            <w:pPr>
              <w:spacing w:before="60" w:after="6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b w:val="0"/>
                <w:lang w:val="en-US"/>
              </w:rPr>
              <w:t>04</w:t>
            </w:r>
            <w:r w:rsidR="00F9714D" w:rsidRPr="001C7C87">
              <w:rPr>
                <w:rFonts w:cs="Calibri"/>
                <w:b w:val="0"/>
                <w:lang w:val="en-US"/>
              </w:rPr>
              <w:t>/0</w:t>
            </w:r>
            <w:r>
              <w:rPr>
                <w:rFonts w:cs="Calibri"/>
                <w:b w:val="0"/>
                <w:lang w:val="en-US"/>
              </w:rPr>
              <w:t>3</w:t>
            </w:r>
            <w:r w:rsidR="00F9714D" w:rsidRPr="001C7C87">
              <w:rPr>
                <w:rFonts w:cs="Calibri"/>
                <w:b w:val="0"/>
                <w:lang w:val="en-US"/>
              </w:rPr>
              <w:t>/202</w:t>
            </w:r>
            <w:r>
              <w:rPr>
                <w:rFonts w:cs="Calibri"/>
                <w:b w:val="0"/>
                <w:lang w:val="en-US"/>
              </w:rPr>
              <w:t>2</w:t>
            </w:r>
          </w:p>
        </w:tc>
        <w:tc>
          <w:tcPr>
            <w:tcW w:w="1089" w:type="dxa"/>
            <w:hideMark/>
          </w:tcPr>
          <w:p w14:paraId="45F57B52" w14:textId="77777777" w:rsidR="00F9714D" w:rsidRPr="001C7C87" w:rsidRDefault="00F9714D" w:rsidP="00FA647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1C7C87">
              <w:rPr>
                <w:rFonts w:cs="Calibri"/>
              </w:rPr>
              <w:t>1.0</w:t>
            </w:r>
          </w:p>
        </w:tc>
        <w:tc>
          <w:tcPr>
            <w:tcW w:w="5386" w:type="dxa"/>
            <w:hideMark/>
          </w:tcPr>
          <w:p w14:paraId="7588D7A5" w14:textId="77777777" w:rsidR="00F9714D" w:rsidRPr="001C7C87" w:rsidRDefault="00BA3500" w:rsidP="00FA647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1C7C87">
              <w:rPr>
                <w:rFonts w:cs="Calibri"/>
              </w:rPr>
              <w:t xml:space="preserve">Criação do documento </w:t>
            </w:r>
          </w:p>
        </w:tc>
        <w:tc>
          <w:tcPr>
            <w:tcW w:w="2268" w:type="dxa"/>
            <w:hideMark/>
          </w:tcPr>
          <w:p w14:paraId="1DC5D37F" w14:textId="77777777" w:rsidR="00F9714D" w:rsidRPr="00BA3500" w:rsidRDefault="00BA3500" w:rsidP="00FA647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44546A" w:themeColor="text2"/>
                <w:lang w:val="en-US"/>
              </w:rPr>
            </w:pPr>
            <w:r>
              <w:rPr>
                <w:rFonts w:cs="Calibri"/>
                <w:color w:val="44546A" w:themeColor="text2"/>
                <w:lang w:val="en-US"/>
              </w:rPr>
              <w:t>Vinicius Queiroz</w:t>
            </w:r>
          </w:p>
        </w:tc>
      </w:tr>
      <w:tr w:rsidR="00F9714D" w14:paraId="3E29A85E" w14:textId="77777777" w:rsidTr="00B15F3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A15FE34" w14:textId="60D8BF53" w:rsidR="00F9714D" w:rsidRPr="001C7C87" w:rsidRDefault="00B168B5" w:rsidP="00FA647C">
            <w:pPr>
              <w:spacing w:before="60" w:after="60"/>
              <w:jc w:val="center"/>
              <w:rPr>
                <w:rFonts w:cs="Calibri"/>
                <w:b w:val="0"/>
                <w:szCs w:val="20"/>
                <w:lang w:val="en-US"/>
              </w:rPr>
            </w:pPr>
            <w:r>
              <w:rPr>
                <w:rFonts w:cs="Calibri"/>
                <w:b w:val="0"/>
                <w:szCs w:val="20"/>
                <w:lang w:val="en-US"/>
              </w:rPr>
              <w:t>09/10/2022</w:t>
            </w:r>
          </w:p>
        </w:tc>
        <w:tc>
          <w:tcPr>
            <w:tcW w:w="1089" w:type="dxa"/>
          </w:tcPr>
          <w:p w14:paraId="08C5D2C2" w14:textId="597EA9D8" w:rsidR="00F9714D" w:rsidRPr="001C7C87" w:rsidRDefault="00B168B5" w:rsidP="00FA647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1.1</w:t>
            </w:r>
          </w:p>
        </w:tc>
        <w:tc>
          <w:tcPr>
            <w:tcW w:w="5386" w:type="dxa"/>
          </w:tcPr>
          <w:p w14:paraId="283302FE" w14:textId="5610C29D" w:rsidR="00F9714D" w:rsidRPr="001C7C87" w:rsidRDefault="00B168B5" w:rsidP="00FA647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de Arquitetura de Soluções e construção do HLD</w:t>
            </w:r>
          </w:p>
        </w:tc>
        <w:tc>
          <w:tcPr>
            <w:tcW w:w="2268" w:type="dxa"/>
          </w:tcPr>
          <w:p w14:paraId="48068BB0" w14:textId="087760C5" w:rsidR="00F9714D" w:rsidRPr="001C7C87" w:rsidRDefault="00B168B5" w:rsidP="00FA647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Vinicius Queiroz</w:t>
            </w:r>
          </w:p>
        </w:tc>
        <w:bookmarkEnd w:id="0"/>
      </w:tr>
      <w:tr w:rsidR="009C59F3" w14:paraId="52645EFC" w14:textId="77777777" w:rsidTr="00B15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8BB56FD" w14:textId="23A06F1D" w:rsidR="009C59F3" w:rsidRPr="001C7C87" w:rsidRDefault="009C59F3" w:rsidP="009C59F3">
            <w:pPr>
              <w:spacing w:before="60" w:after="60"/>
              <w:jc w:val="center"/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  <w:lang w:val="en-US"/>
              </w:rPr>
              <w:t>03</w:t>
            </w:r>
            <w:r>
              <w:rPr>
                <w:rFonts w:cs="Calibri"/>
                <w:b w:val="0"/>
                <w:szCs w:val="20"/>
                <w:lang w:val="en-US"/>
              </w:rPr>
              <w:t>/1</w:t>
            </w:r>
            <w:r>
              <w:rPr>
                <w:rFonts w:cs="Calibri"/>
                <w:b w:val="0"/>
                <w:szCs w:val="20"/>
                <w:lang w:val="en-US"/>
              </w:rPr>
              <w:t>1</w:t>
            </w:r>
            <w:r>
              <w:rPr>
                <w:rFonts w:cs="Calibri"/>
                <w:b w:val="0"/>
                <w:szCs w:val="20"/>
                <w:lang w:val="en-US"/>
              </w:rPr>
              <w:t>/2022</w:t>
            </w:r>
          </w:p>
        </w:tc>
        <w:tc>
          <w:tcPr>
            <w:tcW w:w="1089" w:type="dxa"/>
          </w:tcPr>
          <w:p w14:paraId="3604E235" w14:textId="380718B0" w:rsidR="009C59F3" w:rsidRPr="001C7C87" w:rsidRDefault="009C59F3" w:rsidP="009C59F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C00000"/>
              </w:rPr>
            </w:pPr>
            <w:r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386" w:type="dxa"/>
          </w:tcPr>
          <w:p w14:paraId="7466CADD" w14:textId="7FE3A31A" w:rsidR="009C59F3" w:rsidRPr="00F9714D" w:rsidRDefault="009C59F3" w:rsidP="009C59F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Detalhamento das integrações Empresa, Lotação e Setor</w:t>
            </w:r>
          </w:p>
        </w:tc>
        <w:tc>
          <w:tcPr>
            <w:tcW w:w="2268" w:type="dxa"/>
          </w:tcPr>
          <w:p w14:paraId="268188A8" w14:textId="3ECA9639" w:rsidR="009C59F3" w:rsidRPr="001C7C87" w:rsidRDefault="009C59F3" w:rsidP="009C59F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t>Vinicius Queiroz</w:t>
            </w:r>
          </w:p>
        </w:tc>
      </w:tr>
      <w:tr w:rsidR="009C59F3" w14:paraId="6CB88A45" w14:textId="77777777" w:rsidTr="00B15F3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9EE3F0C" w14:textId="77777777" w:rsidR="009C59F3" w:rsidRPr="001C7C87" w:rsidRDefault="009C59F3" w:rsidP="009C59F3">
            <w:pPr>
              <w:spacing w:before="60" w:after="60"/>
              <w:jc w:val="center"/>
              <w:rPr>
                <w:rFonts w:cs="Calibri"/>
                <w:b w:val="0"/>
                <w:szCs w:val="20"/>
              </w:rPr>
            </w:pPr>
          </w:p>
        </w:tc>
        <w:tc>
          <w:tcPr>
            <w:tcW w:w="1089" w:type="dxa"/>
          </w:tcPr>
          <w:p w14:paraId="23F5A560" w14:textId="77777777" w:rsidR="009C59F3" w:rsidRPr="001C7C87" w:rsidRDefault="009C59F3" w:rsidP="009C59F3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C00000"/>
              </w:rPr>
            </w:pPr>
          </w:p>
        </w:tc>
        <w:tc>
          <w:tcPr>
            <w:tcW w:w="5386" w:type="dxa"/>
          </w:tcPr>
          <w:p w14:paraId="21D62194" w14:textId="77777777" w:rsidR="009C59F3" w:rsidRPr="00F9714D" w:rsidRDefault="009C59F3" w:rsidP="009C59F3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</w:tc>
        <w:tc>
          <w:tcPr>
            <w:tcW w:w="2268" w:type="dxa"/>
          </w:tcPr>
          <w:p w14:paraId="2ED2EC1B" w14:textId="77777777" w:rsidR="009C59F3" w:rsidRPr="001C7C87" w:rsidRDefault="009C59F3" w:rsidP="009C59F3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14:paraId="30EEED07" w14:textId="77777777" w:rsidR="00C21563" w:rsidRPr="00C21563" w:rsidRDefault="00C21563">
      <w:pPr>
        <w:rPr>
          <w:rFonts w:asciiTheme="majorHAnsi" w:hAnsiTheme="majorHAnsi" w:cstheme="majorHAnsi"/>
          <w:sz w:val="28"/>
          <w:szCs w:val="28"/>
        </w:rPr>
      </w:pPr>
      <w:r>
        <w:rPr>
          <w:b/>
          <w:szCs w:val="20"/>
        </w:rPr>
        <w:br w:type="page"/>
      </w:r>
    </w:p>
    <w:p w14:paraId="5907F1E5" w14:textId="77777777" w:rsidR="00C21563" w:rsidRPr="00C21563" w:rsidRDefault="00C21563" w:rsidP="00C21563">
      <w:pPr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100" w:after="0"/>
        <w:outlineLvl w:val="0"/>
        <w:rPr>
          <w:rFonts w:eastAsiaTheme="minorEastAsia"/>
          <w:caps/>
          <w:color w:val="FFFFFF" w:themeColor="background1"/>
          <w:spacing w:val="15"/>
        </w:rPr>
      </w:pPr>
      <w:bookmarkStart w:id="1" w:name="_Toc60782725"/>
      <w:bookmarkStart w:id="2" w:name="_Toc78434203"/>
      <w:r w:rsidRPr="00C21563">
        <w:rPr>
          <w:rFonts w:eastAsiaTheme="minorEastAsia"/>
          <w:caps/>
          <w:color w:val="FFFFFF" w:themeColor="background1"/>
          <w:spacing w:val="15"/>
        </w:rPr>
        <w:lastRenderedPageBreak/>
        <w:t>1.</w:t>
      </w:r>
      <w:r w:rsidRPr="00C21563">
        <w:rPr>
          <w:rFonts w:eastAsiaTheme="minorEastAsia"/>
          <w:caps/>
          <w:color w:val="FFFFFF" w:themeColor="background1"/>
          <w:spacing w:val="15"/>
        </w:rPr>
        <w:tab/>
      </w:r>
      <w:bookmarkEnd w:id="1"/>
      <w:r>
        <w:rPr>
          <w:rFonts w:eastAsiaTheme="minorEastAsia"/>
          <w:caps/>
          <w:color w:val="FFFFFF" w:themeColor="background1"/>
          <w:spacing w:val="15"/>
        </w:rPr>
        <w:t>Objetivo do documento</w:t>
      </w:r>
      <w:bookmarkEnd w:id="2"/>
    </w:p>
    <w:p w14:paraId="2EB71AB1" w14:textId="26DD5DE7" w:rsidR="008033C8" w:rsidRDefault="00712FAA" w:rsidP="00F9714D">
      <w:pPr>
        <w:spacing w:before="100" w:after="10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O objetivo deste documento é apresentar </w:t>
      </w:r>
      <w:r w:rsidR="008033C8">
        <w:rPr>
          <w:rFonts w:eastAsiaTheme="minorEastAsia"/>
          <w:szCs w:val="20"/>
        </w:rPr>
        <w:t>o entendimento do escopo do projeto e apresentar os</w:t>
      </w:r>
      <w:r w:rsidR="00596B41">
        <w:rPr>
          <w:rFonts w:eastAsiaTheme="minorEastAsia"/>
          <w:szCs w:val="20"/>
        </w:rPr>
        <w:t xml:space="preserve"> </w:t>
      </w:r>
      <w:r w:rsidR="008033C8">
        <w:rPr>
          <w:rFonts w:eastAsiaTheme="minorEastAsia"/>
          <w:szCs w:val="20"/>
        </w:rPr>
        <w:t xml:space="preserve">direcionamentos para a </w:t>
      </w:r>
      <w:r w:rsidR="00B168B5">
        <w:rPr>
          <w:rFonts w:eastAsiaTheme="minorEastAsia"/>
          <w:szCs w:val="20"/>
        </w:rPr>
        <w:t>execução</w:t>
      </w:r>
      <w:r w:rsidR="008033C8">
        <w:rPr>
          <w:rFonts w:eastAsiaTheme="minorEastAsia"/>
          <w:szCs w:val="20"/>
        </w:rPr>
        <w:t xml:space="preserve"> do </w:t>
      </w:r>
      <w:r w:rsidR="000F59FE">
        <w:rPr>
          <w:rFonts w:eastAsiaTheme="minorEastAsia"/>
          <w:szCs w:val="20"/>
        </w:rPr>
        <w:t>projeto</w:t>
      </w:r>
      <w:r>
        <w:rPr>
          <w:rFonts w:eastAsiaTheme="minorEastAsia"/>
          <w:szCs w:val="20"/>
        </w:rPr>
        <w:t xml:space="preserve">. </w:t>
      </w:r>
    </w:p>
    <w:p w14:paraId="15683260" w14:textId="77777777" w:rsidR="009D1B02" w:rsidRDefault="009D1B02" w:rsidP="00F9714D">
      <w:pPr>
        <w:spacing w:before="100" w:after="100"/>
        <w:rPr>
          <w:rFonts w:eastAsiaTheme="minorEastAsia"/>
          <w:szCs w:val="20"/>
        </w:rPr>
      </w:pPr>
    </w:p>
    <w:p w14:paraId="16F76405" w14:textId="7329AD19" w:rsidR="00E73B3E" w:rsidRPr="00C21563" w:rsidRDefault="00E73B3E" w:rsidP="00E73B3E">
      <w:pPr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100" w:after="0"/>
        <w:outlineLvl w:val="0"/>
        <w:rPr>
          <w:rFonts w:eastAsiaTheme="minorEastAsia"/>
          <w:caps/>
          <w:color w:val="FFFFFF" w:themeColor="background1"/>
          <w:spacing w:val="15"/>
        </w:rPr>
      </w:pPr>
      <w:bookmarkStart w:id="3" w:name="_Toc78434204"/>
      <w:r>
        <w:rPr>
          <w:rFonts w:eastAsiaTheme="minorEastAsia"/>
          <w:caps/>
          <w:color w:val="FFFFFF" w:themeColor="background1"/>
          <w:spacing w:val="15"/>
        </w:rPr>
        <w:t>2.</w:t>
      </w:r>
      <w:r>
        <w:rPr>
          <w:rFonts w:eastAsiaTheme="minorEastAsia"/>
          <w:caps/>
          <w:color w:val="FFFFFF" w:themeColor="background1"/>
          <w:spacing w:val="15"/>
        </w:rPr>
        <w:tab/>
        <w:t xml:space="preserve">Contexto </w:t>
      </w:r>
      <w:bookmarkEnd w:id="3"/>
    </w:p>
    <w:p w14:paraId="02495F25" w14:textId="032984F5" w:rsidR="009443E9" w:rsidRDefault="009443E9" w:rsidP="00B168B5">
      <w:pPr>
        <w:spacing w:before="100" w:after="100"/>
        <w:rPr>
          <w:rFonts w:eastAsiaTheme="minorEastAsia"/>
          <w:szCs w:val="20"/>
        </w:rPr>
      </w:pPr>
      <w:r w:rsidRPr="00E73B3E">
        <w:rPr>
          <w:rFonts w:eastAsiaTheme="minorEastAsia"/>
          <w:szCs w:val="20"/>
        </w:rPr>
        <w:t>O proje</w:t>
      </w:r>
      <w:r>
        <w:rPr>
          <w:rFonts w:eastAsiaTheme="minorEastAsia"/>
          <w:szCs w:val="20"/>
        </w:rPr>
        <w:t xml:space="preserve">to </w:t>
      </w:r>
      <w:r w:rsidR="009D1B02">
        <w:rPr>
          <w:rFonts w:eastAsiaTheme="minorEastAsia"/>
          <w:szCs w:val="20"/>
        </w:rPr>
        <w:t xml:space="preserve">de Contratação de um novo sistema de </w:t>
      </w:r>
      <w:r>
        <w:rPr>
          <w:rFonts w:eastAsiaTheme="minorEastAsia"/>
          <w:szCs w:val="20"/>
        </w:rPr>
        <w:t xml:space="preserve">Saúde Ocupacional, visa contratar o </w:t>
      </w:r>
      <w:r w:rsidRPr="009A6190">
        <w:rPr>
          <w:rFonts w:eastAsiaTheme="minorEastAsia"/>
          <w:szCs w:val="20"/>
        </w:rPr>
        <w:t xml:space="preserve">SOFTWARE </w:t>
      </w:r>
      <w:r w:rsidR="009D1B02">
        <w:rPr>
          <w:rFonts w:eastAsiaTheme="minorEastAsia"/>
          <w:szCs w:val="20"/>
        </w:rPr>
        <w:t xml:space="preserve">da Nexo - </w:t>
      </w:r>
      <w:r w:rsidRPr="009A6190">
        <w:rPr>
          <w:rFonts w:eastAsiaTheme="minorEastAsia"/>
          <w:szCs w:val="20"/>
        </w:rPr>
        <w:t>EHS 8.0</w:t>
      </w:r>
      <w:r>
        <w:rPr>
          <w:rFonts w:eastAsiaTheme="minorEastAsia"/>
          <w:szCs w:val="20"/>
        </w:rPr>
        <w:t xml:space="preserve">, disponibilizado via </w:t>
      </w:r>
      <w:proofErr w:type="gramStart"/>
      <w:r>
        <w:rPr>
          <w:rFonts w:eastAsiaTheme="minorEastAsia"/>
          <w:szCs w:val="20"/>
        </w:rPr>
        <w:t>Internet(</w:t>
      </w:r>
      <w:proofErr w:type="gramEnd"/>
      <w:r>
        <w:rPr>
          <w:rFonts w:eastAsiaTheme="minorEastAsia"/>
          <w:szCs w:val="20"/>
        </w:rPr>
        <w:t>SaaS</w:t>
      </w:r>
      <w:r w:rsidR="009D1B02">
        <w:rPr>
          <w:rFonts w:eastAsiaTheme="minorEastAsia"/>
          <w:szCs w:val="20"/>
        </w:rPr>
        <w:t>)</w:t>
      </w:r>
      <w:r>
        <w:rPr>
          <w:rFonts w:eastAsiaTheme="minorEastAsia"/>
          <w:szCs w:val="20"/>
        </w:rPr>
        <w:t xml:space="preserve"> e hospedado atualmente em uma cloud da </w:t>
      </w:r>
      <w:proofErr w:type="spellStart"/>
      <w:r>
        <w:rPr>
          <w:rFonts w:eastAsiaTheme="minorEastAsia"/>
          <w:szCs w:val="20"/>
        </w:rPr>
        <w:t>Equinix</w:t>
      </w:r>
      <w:proofErr w:type="spellEnd"/>
      <w:r>
        <w:rPr>
          <w:rFonts w:eastAsiaTheme="minorEastAsia"/>
          <w:szCs w:val="20"/>
        </w:rPr>
        <w:t xml:space="preserve">, onde devemos enviar informações de cadastros de colaboradores e receber informações para disponibilização ao SAP, </w:t>
      </w:r>
      <w:proofErr w:type="spellStart"/>
      <w:r>
        <w:rPr>
          <w:rFonts w:eastAsiaTheme="minorEastAsia"/>
          <w:szCs w:val="20"/>
        </w:rPr>
        <w:t>FPw</w:t>
      </w:r>
      <w:proofErr w:type="spellEnd"/>
      <w:r>
        <w:rPr>
          <w:rFonts w:eastAsiaTheme="minorEastAsia"/>
          <w:szCs w:val="20"/>
        </w:rPr>
        <w:t xml:space="preserve"> e consequentemente ao </w:t>
      </w:r>
      <w:proofErr w:type="spellStart"/>
      <w:r>
        <w:rPr>
          <w:rFonts w:eastAsiaTheme="minorEastAsia"/>
          <w:szCs w:val="20"/>
        </w:rPr>
        <w:t>eSocial</w:t>
      </w:r>
      <w:proofErr w:type="spellEnd"/>
      <w:r>
        <w:rPr>
          <w:rFonts w:eastAsiaTheme="minorEastAsia"/>
          <w:szCs w:val="20"/>
        </w:rPr>
        <w:t>.</w:t>
      </w:r>
    </w:p>
    <w:p w14:paraId="47E6C7B9" w14:textId="5C30F6ED" w:rsidR="009A6190" w:rsidRDefault="008033C8" w:rsidP="00B168B5">
      <w:pPr>
        <w:spacing w:before="100" w:after="10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Foi apresentado o contexto atual d</w:t>
      </w:r>
      <w:r w:rsidR="009A6190">
        <w:rPr>
          <w:rFonts w:eastAsiaTheme="minorEastAsia"/>
          <w:szCs w:val="20"/>
        </w:rPr>
        <w:t xml:space="preserve">a contratação Nexo, onde foi passado o histórico sobre essa demanda. A Arquitetura de Soluções não participou do processo de RFP da solução, apenas recebeu os documentos </w:t>
      </w:r>
      <w:r w:rsidR="00B168B5">
        <w:rPr>
          <w:rFonts w:eastAsiaTheme="minorEastAsia"/>
          <w:szCs w:val="20"/>
        </w:rPr>
        <w:t xml:space="preserve">respondidos pela empresa </w:t>
      </w:r>
      <w:r w:rsidR="009A6190">
        <w:rPr>
          <w:rFonts w:eastAsiaTheme="minorEastAsia"/>
          <w:szCs w:val="20"/>
        </w:rPr>
        <w:t xml:space="preserve">para análise. </w:t>
      </w:r>
      <w:r w:rsidR="00B168B5">
        <w:rPr>
          <w:rFonts w:eastAsiaTheme="minorEastAsia"/>
          <w:szCs w:val="20"/>
        </w:rPr>
        <w:t>A</w:t>
      </w:r>
      <w:r w:rsidR="009A6190">
        <w:rPr>
          <w:rFonts w:eastAsiaTheme="minorEastAsia"/>
          <w:szCs w:val="20"/>
        </w:rPr>
        <w:t xml:space="preserve"> solução escolhida era a que melhor atendia as necessidades da Light</w:t>
      </w:r>
      <w:r w:rsidR="000F59FE">
        <w:rPr>
          <w:rFonts w:eastAsiaTheme="minorEastAsia"/>
          <w:szCs w:val="20"/>
        </w:rPr>
        <w:t xml:space="preserve"> </w:t>
      </w:r>
      <w:r w:rsidR="009A6190">
        <w:rPr>
          <w:rFonts w:eastAsiaTheme="minorEastAsia"/>
          <w:szCs w:val="20"/>
        </w:rPr>
        <w:t xml:space="preserve">(cerca de 80% de cobertura) e consegue atender o escopo atual e expandir para atender </w:t>
      </w:r>
      <w:r w:rsidR="000F59FE">
        <w:rPr>
          <w:rFonts w:eastAsiaTheme="minorEastAsia"/>
          <w:szCs w:val="20"/>
        </w:rPr>
        <w:t xml:space="preserve">as demandas de </w:t>
      </w:r>
      <w:r w:rsidR="009A6190">
        <w:rPr>
          <w:rFonts w:eastAsiaTheme="minorEastAsia"/>
          <w:szCs w:val="20"/>
        </w:rPr>
        <w:t xml:space="preserve">Segurança do Trabalho, o qual hoje não está sendo atendido </w:t>
      </w:r>
      <w:r w:rsidR="00B168B5">
        <w:rPr>
          <w:rFonts w:eastAsiaTheme="minorEastAsia"/>
          <w:szCs w:val="20"/>
        </w:rPr>
        <w:t>pelo atual sistema</w:t>
      </w:r>
      <w:r w:rsidR="009A6190">
        <w:rPr>
          <w:rFonts w:eastAsiaTheme="minorEastAsia"/>
          <w:szCs w:val="20"/>
        </w:rPr>
        <w:t>.</w:t>
      </w:r>
    </w:p>
    <w:p w14:paraId="7C084DF7" w14:textId="65A3ED1F" w:rsidR="00A646CE" w:rsidRDefault="00A646CE" w:rsidP="009A6190">
      <w:pPr>
        <w:spacing w:before="100" w:after="100"/>
        <w:rPr>
          <w:rFonts w:eastAsiaTheme="minorEastAsia"/>
          <w:szCs w:val="20"/>
        </w:rPr>
      </w:pPr>
    </w:p>
    <w:p w14:paraId="329A5099" w14:textId="77777777" w:rsidR="00A646CE" w:rsidRPr="00C21563" w:rsidRDefault="00A646CE" w:rsidP="00A646CE">
      <w:pPr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100" w:after="0"/>
        <w:outlineLvl w:val="0"/>
        <w:rPr>
          <w:rFonts w:eastAsiaTheme="minorEastAsia"/>
          <w:caps/>
          <w:color w:val="FFFFFF" w:themeColor="background1"/>
          <w:spacing w:val="15"/>
        </w:rPr>
      </w:pPr>
      <w:r>
        <w:rPr>
          <w:rFonts w:eastAsiaTheme="minorEastAsia"/>
          <w:caps/>
          <w:color w:val="FFFFFF" w:themeColor="background1"/>
          <w:spacing w:val="15"/>
        </w:rPr>
        <w:t xml:space="preserve">3.MAPA DE CAPACIDADES </w:t>
      </w:r>
    </w:p>
    <w:p w14:paraId="6512C97C" w14:textId="77777777" w:rsidR="00A646CE" w:rsidRDefault="00A646CE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Nesse tópico, iremos descrever as Capacidades que serão atendidas com o projeto.</w:t>
      </w:r>
    </w:p>
    <w:p w14:paraId="1CC873F7" w14:textId="77777777" w:rsidR="00A646CE" w:rsidRDefault="00A646CE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Apenas para contexto, o Mapa de Capacidades tem como objetivo informar e modelar as Capacidades de Negócios da companhia.</w:t>
      </w:r>
    </w:p>
    <w:p w14:paraId="51157D02" w14:textId="77777777" w:rsidR="00A646CE" w:rsidRDefault="00A646CE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Uma capacidade tem 3 pilares:</w:t>
      </w:r>
    </w:p>
    <w:p w14:paraId="40698AFF" w14:textId="77777777" w:rsidR="00A646CE" w:rsidRDefault="00A646CE" w:rsidP="00A646CE">
      <w:pPr>
        <w:pStyle w:val="PargrafodaLista"/>
        <w:numPr>
          <w:ilvl w:val="0"/>
          <w:numId w:val="13"/>
        </w:numPr>
        <w:spacing w:before="100" w:after="100"/>
        <w:jc w:val="left"/>
        <w:rPr>
          <w:rFonts w:eastAsiaTheme="minorEastAsia"/>
          <w:szCs w:val="20"/>
        </w:rPr>
      </w:pPr>
      <w:r w:rsidRPr="002C614F">
        <w:rPr>
          <w:rFonts w:eastAsiaTheme="minorEastAsia"/>
          <w:szCs w:val="20"/>
        </w:rPr>
        <w:t>Processos</w:t>
      </w:r>
    </w:p>
    <w:p w14:paraId="2C06273D" w14:textId="77777777" w:rsidR="00A646CE" w:rsidRDefault="00A646CE" w:rsidP="00A646CE">
      <w:pPr>
        <w:pStyle w:val="PargrafodaLista"/>
        <w:numPr>
          <w:ilvl w:val="0"/>
          <w:numId w:val="13"/>
        </w:numPr>
        <w:spacing w:before="100" w:after="100"/>
        <w:jc w:val="left"/>
        <w:rPr>
          <w:rFonts w:eastAsiaTheme="minorEastAsia"/>
          <w:szCs w:val="20"/>
        </w:rPr>
      </w:pPr>
      <w:r w:rsidRPr="002C614F">
        <w:rPr>
          <w:rFonts w:eastAsiaTheme="minorEastAsia"/>
          <w:szCs w:val="20"/>
        </w:rPr>
        <w:t>Pessoas</w:t>
      </w:r>
    </w:p>
    <w:p w14:paraId="67BA3510" w14:textId="5D8C66BA" w:rsidR="00A646CE" w:rsidRPr="00EA3DE5" w:rsidRDefault="00A646CE" w:rsidP="00A646CE">
      <w:pPr>
        <w:pStyle w:val="PargrafodaLista"/>
        <w:numPr>
          <w:ilvl w:val="0"/>
          <w:numId w:val="13"/>
        </w:numPr>
        <w:spacing w:before="100" w:after="100"/>
        <w:jc w:val="left"/>
        <w:rPr>
          <w:rFonts w:eastAsiaTheme="minorEastAsia"/>
          <w:szCs w:val="20"/>
        </w:rPr>
      </w:pPr>
      <w:r w:rsidRPr="002C614F">
        <w:rPr>
          <w:rFonts w:eastAsiaTheme="minorEastAsia"/>
          <w:szCs w:val="20"/>
        </w:rPr>
        <w:t>Tecnologia</w:t>
      </w:r>
    </w:p>
    <w:p w14:paraId="6D928991" w14:textId="77777777" w:rsidR="00A646CE" w:rsidRPr="002C614F" w:rsidRDefault="00A646CE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A capacidade identifica e define quais serão os impactos dos projetos na organização:</w:t>
      </w:r>
    </w:p>
    <w:p w14:paraId="29B47FF4" w14:textId="4A7E4DC4" w:rsidR="00A646CE" w:rsidRDefault="003C254C" w:rsidP="00A646CE">
      <w:pPr>
        <w:spacing w:before="100" w:after="100"/>
        <w:ind w:left="1416"/>
        <w:jc w:val="left"/>
        <w:rPr>
          <w:rFonts w:eastAsiaTheme="minorEastAsia"/>
          <w:szCs w:val="20"/>
        </w:rPr>
      </w:pPr>
      <w:r>
        <w:rPr>
          <w:rFonts w:eastAsiaTheme="minorEastAsia"/>
          <w:noProof/>
          <w:szCs w:val="20"/>
        </w:rPr>
        <w:drawing>
          <wp:inline distT="0" distB="0" distL="0" distR="0" wp14:anchorId="33774B03" wp14:editId="43588178">
            <wp:extent cx="4541520" cy="563036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04" cy="574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D8C49" w14:textId="77777777" w:rsidR="00A646CE" w:rsidRDefault="00A646CE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Esse projeto irá impactar as capacidades:</w:t>
      </w:r>
    </w:p>
    <w:p w14:paraId="2E661B1A" w14:textId="77777777" w:rsidR="009443E9" w:rsidRDefault="003C254C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6.4 Gestão de Recursos Humanos</w:t>
      </w:r>
    </w:p>
    <w:p w14:paraId="489E8F6E" w14:textId="13775E2D" w:rsidR="009443E9" w:rsidRDefault="009443E9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Sub capacidades: </w:t>
      </w:r>
    </w:p>
    <w:p w14:paraId="1D541560" w14:textId="64FA7D6D" w:rsidR="00A646CE" w:rsidRDefault="009443E9" w:rsidP="00A646CE">
      <w:pPr>
        <w:spacing w:before="100" w:after="100"/>
        <w:jc w:val="left"/>
        <w:rPr>
          <w:rFonts w:eastAsiaTheme="minorEastAsia"/>
          <w:szCs w:val="20"/>
        </w:rPr>
      </w:pPr>
      <w:r w:rsidRPr="009443E9">
        <w:rPr>
          <w:rFonts w:eastAsiaTheme="minorEastAsia"/>
          <w:szCs w:val="20"/>
        </w:rPr>
        <w:t>6.4.1 Gerenciar Políticas e Práticas de RH</w:t>
      </w:r>
    </w:p>
    <w:p w14:paraId="78AABCEC" w14:textId="77777777" w:rsidR="00AA2D20" w:rsidRDefault="00AA2D20" w:rsidP="00A646CE">
      <w:pPr>
        <w:spacing w:before="100" w:after="100"/>
        <w:jc w:val="left"/>
        <w:rPr>
          <w:rFonts w:eastAsiaTheme="minorEastAsia"/>
          <w:szCs w:val="20"/>
        </w:rPr>
      </w:pPr>
    </w:p>
    <w:p w14:paraId="3DC4C6C9" w14:textId="547ACCA7" w:rsidR="00A646CE" w:rsidRDefault="00A646CE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O impacto principal nas capacidades será no pilar </w:t>
      </w:r>
      <w:r w:rsidR="00AA2D20">
        <w:rPr>
          <w:rFonts w:eastAsiaTheme="minorEastAsia"/>
          <w:szCs w:val="20"/>
        </w:rPr>
        <w:t xml:space="preserve">Pessoas, </w:t>
      </w:r>
      <w:r>
        <w:rPr>
          <w:rFonts w:eastAsiaTheme="minorEastAsia"/>
          <w:szCs w:val="20"/>
        </w:rPr>
        <w:t>Processos</w:t>
      </w:r>
      <w:r w:rsidR="009443E9">
        <w:rPr>
          <w:rFonts w:eastAsiaTheme="minorEastAsia"/>
          <w:szCs w:val="20"/>
        </w:rPr>
        <w:t xml:space="preserve"> e Tecnologia</w:t>
      </w:r>
      <w:r>
        <w:rPr>
          <w:rFonts w:eastAsiaTheme="minorEastAsia"/>
          <w:szCs w:val="20"/>
        </w:rPr>
        <w:t xml:space="preserve">, dado o contexto </w:t>
      </w:r>
      <w:r w:rsidR="009443E9">
        <w:rPr>
          <w:rFonts w:eastAsiaTheme="minorEastAsia"/>
          <w:szCs w:val="20"/>
        </w:rPr>
        <w:t xml:space="preserve">do projeto </w:t>
      </w:r>
      <w:r>
        <w:rPr>
          <w:rFonts w:eastAsiaTheme="minorEastAsia"/>
          <w:szCs w:val="20"/>
        </w:rPr>
        <w:t>definido.</w:t>
      </w:r>
    </w:p>
    <w:p w14:paraId="39D45DA4" w14:textId="058BEAD9" w:rsidR="00AA2D20" w:rsidRDefault="00EA3DE5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Pilar Processos - </w:t>
      </w:r>
      <w:r w:rsidR="00AA2D20">
        <w:rPr>
          <w:rFonts w:eastAsiaTheme="minorEastAsia"/>
          <w:szCs w:val="20"/>
        </w:rPr>
        <w:t>Os processos terão que ser revistos com a implementação do Nexo, pois ele apresenta novas funcionalidades e novos métodos de atende</w:t>
      </w:r>
      <w:r>
        <w:rPr>
          <w:rFonts w:eastAsiaTheme="minorEastAsia"/>
          <w:szCs w:val="20"/>
        </w:rPr>
        <w:t>r</w:t>
      </w:r>
      <w:r w:rsidR="00AA2D20">
        <w:rPr>
          <w:rFonts w:eastAsiaTheme="minorEastAsia"/>
          <w:szCs w:val="20"/>
        </w:rPr>
        <w:t xml:space="preserve"> o</w:t>
      </w:r>
      <w:r>
        <w:rPr>
          <w:rFonts w:eastAsiaTheme="minorEastAsia"/>
          <w:szCs w:val="20"/>
        </w:rPr>
        <w:t>s</w:t>
      </w:r>
      <w:r w:rsidR="00AA2D20">
        <w:rPr>
          <w:rFonts w:eastAsiaTheme="minorEastAsia"/>
          <w:szCs w:val="20"/>
        </w:rPr>
        <w:t xml:space="preserve"> colaboradores.</w:t>
      </w:r>
    </w:p>
    <w:p w14:paraId="25CB8124" w14:textId="7E29FD92" w:rsidR="00AA2D20" w:rsidRDefault="00EA3DE5" w:rsidP="00A646CE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Pilar Pessoas - </w:t>
      </w:r>
      <w:r w:rsidR="00AA2D20">
        <w:rPr>
          <w:rFonts w:eastAsiaTheme="minorEastAsia"/>
          <w:szCs w:val="20"/>
        </w:rPr>
        <w:t>As pessoas envolvidas precisaram ser treinadas na nova ferramenta.</w:t>
      </w:r>
    </w:p>
    <w:p w14:paraId="5CCCA9C8" w14:textId="6C524C46" w:rsidR="00A646CE" w:rsidRDefault="00EA3DE5" w:rsidP="00EA3DE5">
      <w:pPr>
        <w:spacing w:before="100" w:after="10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Pilar Tecnologia - A</w:t>
      </w:r>
      <w:r w:rsidR="00AA2D20">
        <w:rPr>
          <w:rFonts w:eastAsiaTheme="minorEastAsia"/>
          <w:szCs w:val="20"/>
        </w:rPr>
        <w:t xml:space="preserve"> tecnologia será bem diferente da atual, pois atualmente a ferramenta é instalada internamente na Light e passará a ser em nuvem.</w:t>
      </w:r>
      <w:r>
        <w:rPr>
          <w:rFonts w:eastAsiaTheme="minorEastAsia"/>
          <w:szCs w:val="20"/>
        </w:rPr>
        <w:t xml:space="preserve"> </w:t>
      </w:r>
    </w:p>
    <w:p w14:paraId="167ADC8B" w14:textId="3AF84F22" w:rsidR="000F59FE" w:rsidRPr="00C21563" w:rsidRDefault="000F59FE" w:rsidP="000F59FE">
      <w:pPr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100" w:after="0"/>
        <w:outlineLvl w:val="0"/>
        <w:rPr>
          <w:rFonts w:eastAsiaTheme="minorEastAsia"/>
          <w:caps/>
          <w:color w:val="FFFFFF" w:themeColor="background1"/>
          <w:spacing w:val="15"/>
        </w:rPr>
      </w:pPr>
      <w:r>
        <w:rPr>
          <w:rFonts w:eastAsiaTheme="minorEastAsia"/>
          <w:caps/>
          <w:color w:val="FFFFFF" w:themeColor="background1"/>
          <w:spacing w:val="15"/>
        </w:rPr>
        <w:lastRenderedPageBreak/>
        <w:t>2.</w:t>
      </w:r>
      <w:r>
        <w:rPr>
          <w:rFonts w:eastAsiaTheme="minorEastAsia"/>
          <w:caps/>
          <w:color w:val="FFFFFF" w:themeColor="background1"/>
          <w:spacing w:val="15"/>
        </w:rPr>
        <w:tab/>
        <w:t xml:space="preserve">Visão as-is </w:t>
      </w:r>
    </w:p>
    <w:p w14:paraId="3A2587E5" w14:textId="77777777" w:rsidR="00EA3DE5" w:rsidRDefault="00EA3DE5" w:rsidP="00A63C3F">
      <w:pPr>
        <w:spacing w:before="100" w:after="100"/>
        <w:rPr>
          <w:rFonts w:eastAsiaTheme="minorEastAsia"/>
          <w:bCs/>
          <w:szCs w:val="20"/>
        </w:rPr>
      </w:pPr>
      <w:r>
        <w:rPr>
          <w:rFonts w:eastAsiaTheme="minorEastAsia"/>
          <w:bCs/>
          <w:szCs w:val="20"/>
        </w:rPr>
        <w:t xml:space="preserve">Atualmente a Light conta com o sistema </w:t>
      </w:r>
      <w:r w:rsidRPr="00C60A92">
        <w:rPr>
          <w:rFonts w:eastAsiaTheme="minorEastAsia"/>
          <w:bCs/>
          <w:szCs w:val="20"/>
          <w:u w:val="single"/>
        </w:rPr>
        <w:t>SD Web</w:t>
      </w:r>
      <w:r>
        <w:rPr>
          <w:rFonts w:eastAsiaTheme="minorEastAsia"/>
          <w:bCs/>
          <w:szCs w:val="20"/>
        </w:rPr>
        <w:t xml:space="preserve"> para fazer a Gestão de Saúde Ocupacional.</w:t>
      </w:r>
    </w:p>
    <w:p w14:paraId="41101E43" w14:textId="07DE5CC4" w:rsidR="000F59FE" w:rsidRPr="000F59FE" w:rsidRDefault="00EA3DE5" w:rsidP="00A63C3F">
      <w:pPr>
        <w:spacing w:before="100" w:after="100"/>
        <w:rPr>
          <w:rFonts w:eastAsiaTheme="minorEastAsia"/>
          <w:bCs/>
          <w:szCs w:val="20"/>
        </w:rPr>
      </w:pPr>
      <w:r>
        <w:rPr>
          <w:rFonts w:eastAsiaTheme="minorEastAsia"/>
          <w:bCs/>
          <w:szCs w:val="20"/>
        </w:rPr>
        <w:t>Esse sistema terá os dados migrados para o software do Nexo e será desativado na sequência</w:t>
      </w:r>
      <w:r w:rsidR="00C60A92">
        <w:rPr>
          <w:rFonts w:eastAsiaTheme="minorEastAsia"/>
          <w:bCs/>
          <w:szCs w:val="20"/>
        </w:rPr>
        <w:t xml:space="preserve"> do projeto</w:t>
      </w:r>
      <w:r>
        <w:rPr>
          <w:rFonts w:eastAsiaTheme="minorEastAsia"/>
          <w:bCs/>
          <w:szCs w:val="20"/>
        </w:rPr>
        <w:t xml:space="preserve">. </w:t>
      </w:r>
    </w:p>
    <w:p w14:paraId="445233EB" w14:textId="5B32A5D1" w:rsidR="002361BC" w:rsidRDefault="000F59FE" w:rsidP="00A63C3F">
      <w:pPr>
        <w:spacing w:before="100" w:after="100"/>
        <w:rPr>
          <w:rFonts w:eastAsiaTheme="minorEastAsia"/>
          <w:b/>
          <w:szCs w:val="20"/>
        </w:rPr>
      </w:pPr>
      <w:r>
        <w:rPr>
          <w:rFonts w:eastAsiaTheme="minorEastAsia"/>
          <w:b/>
          <w:szCs w:val="20"/>
        </w:rPr>
        <w:t xml:space="preserve">Visão </w:t>
      </w:r>
      <w:proofErr w:type="spellStart"/>
      <w:r>
        <w:rPr>
          <w:rFonts w:eastAsiaTheme="minorEastAsia"/>
          <w:b/>
          <w:szCs w:val="20"/>
        </w:rPr>
        <w:t>As-Is</w:t>
      </w:r>
      <w:proofErr w:type="spellEnd"/>
    </w:p>
    <w:p w14:paraId="68F104B3" w14:textId="76E843DE" w:rsidR="000F59FE" w:rsidRDefault="00A646CE" w:rsidP="00A63C3F">
      <w:pPr>
        <w:spacing w:before="100" w:after="100"/>
        <w:rPr>
          <w:rFonts w:eastAsiaTheme="minorEastAsia"/>
          <w:b/>
          <w:szCs w:val="20"/>
        </w:rPr>
      </w:pPr>
      <w:r>
        <w:rPr>
          <w:rFonts w:eastAsiaTheme="minorEastAsia"/>
          <w:b/>
          <w:noProof/>
          <w:szCs w:val="20"/>
        </w:rPr>
        <w:drawing>
          <wp:inline distT="0" distB="0" distL="0" distR="0" wp14:anchorId="09BD5FA4" wp14:editId="6AC26C6B">
            <wp:extent cx="5011062" cy="2331720"/>
            <wp:effectExtent l="0" t="0" r="0" b="0"/>
            <wp:docPr id="1" name="Imagem 1" descr="Gráfico, Gráfico de caixa estrei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88" cy="233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CE9C" w14:textId="77777777" w:rsidR="00EA3DE5" w:rsidRDefault="00EA3DE5">
      <w:pPr>
        <w:spacing w:before="0" w:after="160" w:line="259" w:lineRule="auto"/>
        <w:jc w:val="left"/>
        <w:rPr>
          <w:rFonts w:eastAsiaTheme="minorEastAsia"/>
          <w:caps/>
          <w:color w:val="FFFFFF" w:themeColor="background1"/>
          <w:spacing w:val="15"/>
          <w:lang w:val="en-US"/>
        </w:rPr>
      </w:pPr>
      <w:r>
        <w:rPr>
          <w:rFonts w:eastAsiaTheme="minorEastAsia"/>
          <w:caps/>
          <w:color w:val="FFFFFF" w:themeColor="background1"/>
          <w:spacing w:val="15"/>
          <w:lang w:val="en-US"/>
        </w:rPr>
        <w:br w:type="page"/>
      </w:r>
    </w:p>
    <w:p w14:paraId="787B998F" w14:textId="2ECC4773" w:rsidR="00A2434C" w:rsidRPr="00EA3DE5" w:rsidRDefault="00EA3DE5" w:rsidP="00EA3DE5">
      <w:pPr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100" w:after="0"/>
        <w:outlineLvl w:val="0"/>
        <w:rPr>
          <w:rFonts w:eastAsiaTheme="minorEastAsia"/>
          <w:caps/>
          <w:color w:val="FFFFFF" w:themeColor="background1"/>
          <w:spacing w:val="15"/>
        </w:rPr>
      </w:pPr>
      <w:r w:rsidRPr="00EA3DE5">
        <w:rPr>
          <w:rFonts w:eastAsiaTheme="minorEastAsia"/>
          <w:caps/>
          <w:color w:val="FFFFFF" w:themeColor="background1"/>
          <w:spacing w:val="15"/>
        </w:rPr>
        <w:lastRenderedPageBreak/>
        <w:t>3.</w:t>
      </w:r>
      <w:r w:rsidRPr="00EA3DE5">
        <w:rPr>
          <w:rFonts w:eastAsiaTheme="minorEastAsia"/>
          <w:caps/>
          <w:color w:val="FFFFFF" w:themeColor="background1"/>
          <w:spacing w:val="15"/>
        </w:rPr>
        <w:tab/>
        <w:t xml:space="preserve">Desenho de solução – High </w:t>
      </w:r>
      <w:r>
        <w:rPr>
          <w:rFonts w:eastAsiaTheme="minorEastAsia"/>
          <w:caps/>
          <w:color w:val="FFFFFF" w:themeColor="background1"/>
          <w:spacing w:val="15"/>
        </w:rPr>
        <w:t>level design (HLD)</w:t>
      </w:r>
    </w:p>
    <w:p w14:paraId="6DDDC604" w14:textId="77777777" w:rsidR="00EA3DE5" w:rsidRPr="00197754" w:rsidRDefault="00EA3DE5" w:rsidP="00EA3DE5">
      <w:pPr>
        <w:spacing w:before="100" w:after="100"/>
        <w:rPr>
          <w:rFonts w:eastAsiaTheme="minorEastAsia"/>
          <w:bCs/>
          <w:szCs w:val="20"/>
        </w:rPr>
      </w:pPr>
      <w:r w:rsidRPr="00197754">
        <w:rPr>
          <w:rFonts w:eastAsiaTheme="minorEastAsia"/>
          <w:bCs/>
          <w:szCs w:val="20"/>
        </w:rPr>
        <w:t xml:space="preserve">O desenho de solução high </w:t>
      </w:r>
      <w:proofErr w:type="spellStart"/>
      <w:r w:rsidRPr="00197754">
        <w:rPr>
          <w:rFonts w:eastAsiaTheme="minorEastAsia"/>
          <w:bCs/>
          <w:szCs w:val="20"/>
        </w:rPr>
        <w:t>level</w:t>
      </w:r>
      <w:proofErr w:type="spellEnd"/>
      <w:r w:rsidRPr="00197754">
        <w:rPr>
          <w:rFonts w:eastAsiaTheme="minorEastAsia"/>
          <w:bCs/>
          <w:szCs w:val="20"/>
        </w:rPr>
        <w:t xml:space="preserve"> design (HLD) tem o objetivo de mostrar todos os componentes arquiteturais envolvidos na solução e guiar os times de desenvolvimento na definição do desenho de implementação (</w:t>
      </w:r>
      <w:proofErr w:type="spellStart"/>
      <w:r w:rsidRPr="00197754">
        <w:rPr>
          <w:rFonts w:eastAsiaTheme="minorEastAsia"/>
          <w:bCs/>
          <w:szCs w:val="20"/>
        </w:rPr>
        <w:t>low</w:t>
      </w:r>
      <w:proofErr w:type="spellEnd"/>
      <w:r w:rsidRPr="00197754">
        <w:rPr>
          <w:rFonts w:eastAsiaTheme="minorEastAsia"/>
          <w:bCs/>
          <w:szCs w:val="20"/>
        </w:rPr>
        <w:t xml:space="preserve"> </w:t>
      </w:r>
      <w:proofErr w:type="spellStart"/>
      <w:r w:rsidRPr="00197754">
        <w:rPr>
          <w:rFonts w:eastAsiaTheme="minorEastAsia"/>
          <w:bCs/>
          <w:szCs w:val="20"/>
        </w:rPr>
        <w:t>level</w:t>
      </w:r>
      <w:proofErr w:type="spellEnd"/>
      <w:r w:rsidRPr="00197754">
        <w:rPr>
          <w:rFonts w:eastAsiaTheme="minorEastAsia"/>
          <w:bCs/>
          <w:szCs w:val="20"/>
        </w:rPr>
        <w:t xml:space="preserve"> design).</w:t>
      </w:r>
    </w:p>
    <w:p w14:paraId="70026CFA" w14:textId="77777777" w:rsidR="00EA3DE5" w:rsidRPr="00197754" w:rsidRDefault="00EA3DE5" w:rsidP="00EA3DE5">
      <w:pPr>
        <w:spacing w:before="100" w:after="100"/>
        <w:rPr>
          <w:rFonts w:eastAsiaTheme="minorEastAsia"/>
          <w:bCs/>
          <w:szCs w:val="20"/>
        </w:rPr>
      </w:pPr>
      <w:r w:rsidRPr="00197754">
        <w:rPr>
          <w:rFonts w:eastAsiaTheme="minorEastAsia"/>
          <w:bCs/>
          <w:szCs w:val="20"/>
        </w:rPr>
        <w:t>As premissas listadas abaixo foram consideradas na definição do desenho de solução:</w:t>
      </w:r>
    </w:p>
    <w:p w14:paraId="281BB7D2" w14:textId="703DC7F9" w:rsidR="00EA3DE5" w:rsidRPr="00197754" w:rsidRDefault="00EA3DE5" w:rsidP="00EA3DE5">
      <w:pPr>
        <w:pStyle w:val="PargrafodaLista"/>
        <w:numPr>
          <w:ilvl w:val="0"/>
          <w:numId w:val="6"/>
        </w:numPr>
      </w:pPr>
      <w:r>
        <w:t xml:space="preserve">A camada de desacoplamento digital ficará responsável pela comunicação com os sistemas </w:t>
      </w:r>
      <w:proofErr w:type="spellStart"/>
      <w:r w:rsidR="00C60A92">
        <w:t>On</w:t>
      </w:r>
      <w:proofErr w:type="spellEnd"/>
      <w:r w:rsidR="00C60A92">
        <w:t xml:space="preserve"> </w:t>
      </w:r>
      <w:proofErr w:type="spellStart"/>
      <w:r w:rsidR="00C60A92">
        <w:t>Premise</w:t>
      </w:r>
      <w:proofErr w:type="spellEnd"/>
      <w:r w:rsidR="00C60A92">
        <w:t xml:space="preserve"> da Light (SAP ECC e </w:t>
      </w:r>
      <w:proofErr w:type="spellStart"/>
      <w:r w:rsidR="00C60A92">
        <w:t>FPw</w:t>
      </w:r>
      <w:proofErr w:type="spellEnd"/>
      <w:r w:rsidR="00C60A92">
        <w:t>)</w:t>
      </w:r>
      <w:r>
        <w:t>.</w:t>
      </w:r>
    </w:p>
    <w:p w14:paraId="4A67B6A6" w14:textId="5252850B" w:rsidR="00EA3DE5" w:rsidRDefault="00EA3DE5" w:rsidP="00EA3DE5">
      <w:pPr>
        <w:numPr>
          <w:ilvl w:val="0"/>
          <w:numId w:val="6"/>
        </w:numPr>
        <w:spacing w:before="100" w:after="100"/>
        <w:rPr>
          <w:rFonts w:eastAsiaTheme="minorEastAsia"/>
          <w:bCs/>
          <w:szCs w:val="20"/>
        </w:rPr>
      </w:pPr>
      <w:r>
        <w:rPr>
          <w:rFonts w:eastAsiaTheme="minorEastAsia"/>
          <w:bCs/>
          <w:szCs w:val="20"/>
        </w:rPr>
        <w:t>As integrações com a Nexo deverão ser construídas utilizando REST/</w:t>
      </w:r>
      <w:proofErr w:type="spellStart"/>
      <w:r>
        <w:rPr>
          <w:rFonts w:eastAsiaTheme="minorEastAsia"/>
          <w:bCs/>
          <w:szCs w:val="20"/>
        </w:rPr>
        <w:t>HTTPs</w:t>
      </w:r>
      <w:proofErr w:type="spellEnd"/>
      <w:r>
        <w:rPr>
          <w:rFonts w:eastAsiaTheme="minorEastAsia"/>
          <w:bCs/>
          <w:szCs w:val="20"/>
        </w:rPr>
        <w:t>.</w:t>
      </w:r>
    </w:p>
    <w:p w14:paraId="42C6C91E" w14:textId="1FD6209E" w:rsidR="006F19B5" w:rsidRPr="006F19B5" w:rsidRDefault="006F19B5" w:rsidP="006F19B5">
      <w:pPr>
        <w:numPr>
          <w:ilvl w:val="0"/>
          <w:numId w:val="6"/>
        </w:numPr>
        <w:spacing w:before="100" w:after="100"/>
        <w:rPr>
          <w:rFonts w:eastAsiaTheme="minorEastAsia"/>
          <w:bCs/>
          <w:szCs w:val="20"/>
        </w:rPr>
      </w:pPr>
      <w:r>
        <w:rPr>
          <w:rFonts w:eastAsiaTheme="minorEastAsia"/>
          <w:bCs/>
          <w:szCs w:val="20"/>
        </w:rPr>
        <w:t xml:space="preserve">Nesse projeto há integrações </w:t>
      </w:r>
      <w:r w:rsidR="0074046D">
        <w:rPr>
          <w:rFonts w:eastAsiaTheme="minorEastAsia"/>
          <w:bCs/>
          <w:szCs w:val="20"/>
        </w:rPr>
        <w:t xml:space="preserve">contendo dados de Colaboradores </w:t>
      </w:r>
      <w:r>
        <w:rPr>
          <w:rFonts w:eastAsiaTheme="minorEastAsia"/>
          <w:bCs/>
          <w:szCs w:val="20"/>
        </w:rPr>
        <w:t>entre o SAP ECC e a Camada de Desacoplamento, que serão reutilizadas no futuro por outros sistemas.</w:t>
      </w:r>
      <w:r w:rsidR="0074046D">
        <w:rPr>
          <w:rFonts w:eastAsiaTheme="minorEastAsia"/>
          <w:bCs/>
          <w:szCs w:val="20"/>
        </w:rPr>
        <w:t xml:space="preserve"> </w:t>
      </w:r>
      <w:r>
        <w:rPr>
          <w:rFonts w:eastAsiaTheme="minorEastAsia"/>
          <w:bCs/>
          <w:szCs w:val="20"/>
        </w:rPr>
        <w:t xml:space="preserve"> Essas integrações reutilizáveis não serão persistidas na Camada de Desacoplamento, então toda carga inicial deverá ser avaliada pelo time de projeto.</w:t>
      </w:r>
    </w:p>
    <w:p w14:paraId="59E0E195" w14:textId="6DADC505" w:rsidR="00EA3DE5" w:rsidRDefault="00EA3DE5" w:rsidP="00EA3DE5">
      <w:pPr>
        <w:numPr>
          <w:ilvl w:val="0"/>
          <w:numId w:val="6"/>
        </w:numPr>
        <w:spacing w:before="100" w:after="100"/>
        <w:rPr>
          <w:rFonts w:eastAsiaTheme="minorEastAsia"/>
          <w:bCs/>
          <w:szCs w:val="20"/>
        </w:rPr>
      </w:pPr>
      <w:r w:rsidRPr="00197754">
        <w:rPr>
          <w:rFonts w:eastAsiaTheme="minorEastAsia"/>
          <w:bCs/>
          <w:szCs w:val="20"/>
        </w:rPr>
        <w:t>Microserviços, mensageria e comunicação assíncrona devem ser utilizados para aumentar resiliência, disponibilidade e capacidade de processamento das integrações.</w:t>
      </w:r>
    </w:p>
    <w:p w14:paraId="5AE61026" w14:textId="61D02F66" w:rsidR="006F19B5" w:rsidRDefault="006F19B5" w:rsidP="006F19B5">
      <w:pPr>
        <w:pStyle w:val="PargrafodaLista"/>
        <w:numPr>
          <w:ilvl w:val="0"/>
          <w:numId w:val="6"/>
        </w:numPr>
        <w:spacing w:before="100" w:after="10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Utilização do</w:t>
      </w:r>
      <w:r w:rsidR="00284251">
        <w:rPr>
          <w:rFonts w:eastAsiaTheme="minorEastAsia"/>
          <w:szCs w:val="20"/>
        </w:rPr>
        <w:t>s</w:t>
      </w:r>
      <w:r>
        <w:rPr>
          <w:rFonts w:eastAsiaTheme="minorEastAsia"/>
          <w:szCs w:val="20"/>
        </w:rPr>
        <w:t xml:space="preserve"> serviços do Azure AD para autenticação e autorização (Single </w:t>
      </w:r>
      <w:proofErr w:type="spellStart"/>
      <w:r>
        <w:rPr>
          <w:rFonts w:eastAsiaTheme="minorEastAsia"/>
          <w:szCs w:val="20"/>
        </w:rPr>
        <w:t>sign-on</w:t>
      </w:r>
      <w:proofErr w:type="spellEnd"/>
      <w:r>
        <w:rPr>
          <w:rFonts w:eastAsiaTheme="minorEastAsia"/>
          <w:szCs w:val="20"/>
        </w:rPr>
        <w:t>)</w:t>
      </w:r>
      <w:r w:rsidR="00C60A92">
        <w:rPr>
          <w:rFonts w:eastAsiaTheme="minorEastAsia"/>
          <w:szCs w:val="20"/>
        </w:rPr>
        <w:t>.</w:t>
      </w:r>
    </w:p>
    <w:p w14:paraId="10F4C6F4" w14:textId="1D915BDE" w:rsidR="000F59FE" w:rsidRDefault="00C15949" w:rsidP="006F19B5">
      <w:pPr>
        <w:spacing w:before="100" w:after="100"/>
        <w:jc w:val="center"/>
        <w:rPr>
          <w:rFonts w:eastAsiaTheme="minorEastAsia"/>
          <w:b/>
          <w:szCs w:val="20"/>
        </w:rPr>
      </w:pPr>
      <w:r>
        <w:rPr>
          <w:rFonts w:eastAsiaTheme="minorEastAsia"/>
          <w:b/>
          <w:noProof/>
          <w:szCs w:val="20"/>
        </w:rPr>
        <w:drawing>
          <wp:inline distT="0" distB="0" distL="0" distR="0" wp14:anchorId="003710D8" wp14:editId="53FD1A29">
            <wp:extent cx="4911969" cy="2899246"/>
            <wp:effectExtent l="19050" t="19050" r="22225" b="1587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95" cy="290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6B95B" w14:textId="5F336816" w:rsidR="006F19B5" w:rsidRPr="006F19B5" w:rsidRDefault="006F19B5" w:rsidP="006F19B5">
      <w:pPr>
        <w:spacing w:before="100" w:after="100"/>
        <w:rPr>
          <w:rFonts w:eastAsiaTheme="minorEastAsia"/>
          <w:bCs/>
          <w:szCs w:val="20"/>
        </w:rPr>
      </w:pPr>
      <w:r w:rsidRPr="006F19B5">
        <w:rPr>
          <w:rFonts w:eastAsiaTheme="minorEastAsia"/>
          <w:bCs/>
          <w:szCs w:val="20"/>
        </w:rPr>
        <w:t>Pontos pendentes nessa versão do documento:</w:t>
      </w:r>
    </w:p>
    <w:p w14:paraId="522CF1E0" w14:textId="23ADC465" w:rsidR="006F19B5" w:rsidRPr="000D4DB4" w:rsidRDefault="00C15949" w:rsidP="0074046D">
      <w:pPr>
        <w:pStyle w:val="PargrafodaLista"/>
        <w:numPr>
          <w:ilvl w:val="0"/>
          <w:numId w:val="14"/>
        </w:numPr>
        <w:spacing w:before="100" w:after="100"/>
        <w:rPr>
          <w:rFonts w:eastAsiaTheme="minorEastAsia"/>
          <w:bCs/>
          <w:szCs w:val="20"/>
          <w:highlight w:val="yellow"/>
        </w:rPr>
      </w:pPr>
      <w:r>
        <w:rPr>
          <w:rFonts w:eastAsiaTheme="minorEastAsia"/>
          <w:bCs/>
          <w:szCs w:val="20"/>
          <w:highlight w:val="yellow"/>
        </w:rPr>
        <w:t xml:space="preserve">A comunicação entre Nexo e </w:t>
      </w:r>
      <w:proofErr w:type="spellStart"/>
      <w:r>
        <w:rPr>
          <w:rFonts w:eastAsiaTheme="minorEastAsia"/>
          <w:bCs/>
          <w:szCs w:val="20"/>
          <w:highlight w:val="yellow"/>
        </w:rPr>
        <w:t>FPw</w:t>
      </w:r>
      <w:proofErr w:type="spellEnd"/>
      <w:r>
        <w:rPr>
          <w:rFonts w:eastAsiaTheme="minorEastAsia"/>
          <w:bCs/>
          <w:szCs w:val="20"/>
          <w:highlight w:val="yellow"/>
        </w:rPr>
        <w:t xml:space="preserve"> ainda está pendente de entendimento e desenho.</w:t>
      </w:r>
      <w:r w:rsidR="006F19B5" w:rsidRPr="000D4DB4">
        <w:rPr>
          <w:rFonts w:eastAsiaTheme="minorEastAsia"/>
          <w:bCs/>
          <w:szCs w:val="20"/>
          <w:highlight w:val="yellow"/>
        </w:rPr>
        <w:t xml:space="preserve"> </w:t>
      </w:r>
      <w:r w:rsidR="0074046D">
        <w:rPr>
          <w:rFonts w:eastAsiaTheme="minorEastAsia"/>
          <w:bCs/>
          <w:szCs w:val="20"/>
          <w:highlight w:val="yellow"/>
        </w:rPr>
        <w:t xml:space="preserve"> Porém já se sabe que o</w:t>
      </w:r>
      <w:r w:rsidR="006F19B5" w:rsidRPr="000D4DB4">
        <w:rPr>
          <w:rFonts w:eastAsiaTheme="minorEastAsia"/>
          <w:bCs/>
          <w:szCs w:val="20"/>
          <w:highlight w:val="yellow"/>
        </w:rPr>
        <w:t xml:space="preserve"> </w:t>
      </w:r>
      <w:proofErr w:type="spellStart"/>
      <w:r w:rsidR="00C60A92">
        <w:rPr>
          <w:rFonts w:eastAsiaTheme="minorEastAsia"/>
          <w:bCs/>
          <w:szCs w:val="20"/>
          <w:highlight w:val="yellow"/>
        </w:rPr>
        <w:t>FPw</w:t>
      </w:r>
      <w:proofErr w:type="spellEnd"/>
      <w:r w:rsidR="006F19B5" w:rsidRPr="000D4DB4">
        <w:rPr>
          <w:rFonts w:eastAsiaTheme="minorEastAsia"/>
          <w:bCs/>
          <w:szCs w:val="20"/>
          <w:highlight w:val="yellow"/>
        </w:rPr>
        <w:t xml:space="preserve"> </w:t>
      </w:r>
      <w:r>
        <w:rPr>
          <w:rFonts w:eastAsiaTheme="minorEastAsia"/>
          <w:bCs/>
          <w:szCs w:val="20"/>
          <w:highlight w:val="yellow"/>
        </w:rPr>
        <w:t xml:space="preserve">irá implementar o módulo “Integra Fácil”, o qual </w:t>
      </w:r>
      <w:r w:rsidR="006F19B5" w:rsidRPr="000D4DB4">
        <w:rPr>
          <w:rFonts w:eastAsiaTheme="minorEastAsia"/>
          <w:bCs/>
          <w:szCs w:val="20"/>
          <w:highlight w:val="yellow"/>
        </w:rPr>
        <w:t>tem mecanismos de integração via REST.</w:t>
      </w:r>
    </w:p>
    <w:p w14:paraId="3F6423D0" w14:textId="4DCE58B1" w:rsidR="00C507ED" w:rsidRPr="00C507ED" w:rsidRDefault="00C60A92" w:rsidP="00C507ED">
      <w:pPr>
        <w:keepNext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100" w:after="0"/>
        <w:outlineLvl w:val="0"/>
        <w:rPr>
          <w:rFonts w:eastAsiaTheme="minorEastAsia"/>
          <w:caps/>
          <w:color w:val="FFFFFF" w:themeColor="background1"/>
          <w:spacing w:val="15"/>
        </w:rPr>
      </w:pPr>
      <w:bookmarkStart w:id="4" w:name="_Toc78434208"/>
      <w:r>
        <w:rPr>
          <w:rFonts w:eastAsiaTheme="minorEastAsia"/>
          <w:caps/>
          <w:color w:val="FFFFFF" w:themeColor="background1"/>
          <w:spacing w:val="15"/>
        </w:rPr>
        <w:t>4</w:t>
      </w:r>
      <w:r w:rsidR="00C507ED" w:rsidRPr="00C507ED">
        <w:rPr>
          <w:rFonts w:eastAsiaTheme="minorEastAsia"/>
          <w:caps/>
          <w:color w:val="FFFFFF" w:themeColor="background1"/>
          <w:spacing w:val="15"/>
        </w:rPr>
        <w:t>.</w:t>
      </w:r>
      <w:r w:rsidR="00C507ED" w:rsidRPr="00C507ED">
        <w:rPr>
          <w:rFonts w:eastAsiaTheme="minorEastAsia"/>
          <w:caps/>
          <w:color w:val="FFFFFF" w:themeColor="background1"/>
          <w:spacing w:val="15"/>
        </w:rPr>
        <w:tab/>
      </w:r>
      <w:bookmarkEnd w:id="4"/>
      <w:r w:rsidR="00C507ED" w:rsidRPr="00C507ED">
        <w:rPr>
          <w:rFonts w:eastAsiaTheme="minorEastAsia"/>
          <w:caps/>
          <w:color w:val="FFFFFF" w:themeColor="background1"/>
          <w:spacing w:val="15"/>
        </w:rPr>
        <w:t>Interfaces de Integração</w:t>
      </w:r>
    </w:p>
    <w:p w14:paraId="68A581C8" w14:textId="17D6599C" w:rsidR="00012E42" w:rsidRDefault="00012E42" w:rsidP="00012E42">
      <w:pPr>
        <w:spacing w:before="240"/>
      </w:pPr>
      <w:r>
        <w:t xml:space="preserve">Neste tópico, </w:t>
      </w:r>
      <w:r w:rsidR="000D4DB4">
        <w:t xml:space="preserve">será apresentado </w:t>
      </w:r>
      <w:r>
        <w:t xml:space="preserve">as integrações planejadas para esse projeto. </w:t>
      </w:r>
    </w:p>
    <w:p w14:paraId="6678CD5A" w14:textId="01E5C774" w:rsidR="00012E42" w:rsidRDefault="00012E42" w:rsidP="000D4DB4">
      <w:pPr>
        <w:pStyle w:val="PargrafodaLista"/>
        <w:numPr>
          <w:ilvl w:val="0"/>
          <w:numId w:val="14"/>
        </w:numPr>
        <w:spacing w:before="240"/>
      </w:pPr>
      <w:r>
        <w:t>Como estratégia d</w:t>
      </w:r>
      <w:r w:rsidR="000D4DB4">
        <w:t>e</w:t>
      </w:r>
      <w:r>
        <w:t xml:space="preserve"> projeto, </w:t>
      </w:r>
      <w:r w:rsidR="000D4DB4">
        <w:t xml:space="preserve">as integrações serão especificadas em tempo de projeto pelo </w:t>
      </w:r>
      <w:r>
        <w:t xml:space="preserve">time funcional SAP e faremos </w:t>
      </w:r>
      <w:r w:rsidR="000D4DB4">
        <w:t>a validação da integração e d</w:t>
      </w:r>
      <w:r>
        <w:t xml:space="preserve">os contratos de integrações </w:t>
      </w:r>
      <w:r w:rsidR="000D4DB4">
        <w:t>na sequência da liberação funcional.</w:t>
      </w:r>
    </w:p>
    <w:p w14:paraId="67215CA5" w14:textId="0AAED620" w:rsidR="000D4DB4" w:rsidRDefault="000D4DB4" w:rsidP="000D4DB4">
      <w:pPr>
        <w:pStyle w:val="PargrafodaLista"/>
        <w:numPr>
          <w:ilvl w:val="0"/>
          <w:numId w:val="14"/>
        </w:numPr>
        <w:spacing w:before="240"/>
      </w:pPr>
      <w:r>
        <w:t xml:space="preserve">As integrações desse projeto </w:t>
      </w:r>
      <w:r w:rsidR="00C60A92">
        <w:t>possuem</w:t>
      </w:r>
      <w:r>
        <w:t xml:space="preserve"> alta </w:t>
      </w:r>
      <w:r w:rsidR="00C60A92">
        <w:t>característica de</w:t>
      </w:r>
      <w:r>
        <w:t xml:space="preserve"> </w:t>
      </w:r>
      <w:proofErr w:type="spellStart"/>
      <w:r>
        <w:t>Reúso</w:t>
      </w:r>
      <w:proofErr w:type="spellEnd"/>
      <w:r>
        <w:t xml:space="preserve">, </w:t>
      </w:r>
      <w:r w:rsidR="00C60A92">
        <w:t xml:space="preserve">pois são dados de colaboradores comumente utilizadas em implantações de projetos, </w:t>
      </w:r>
      <w:r>
        <w:t>então o recebimento e envio das informações a Nexo serão processos distintos dentro da Camada de Desacoplamento.</w:t>
      </w:r>
    </w:p>
    <w:p w14:paraId="51C1DEF0" w14:textId="2A0A5915" w:rsidR="00C507ED" w:rsidRDefault="00012E42" w:rsidP="00C507ED">
      <w:pPr>
        <w:pStyle w:val="PargrafodaLista"/>
        <w:numPr>
          <w:ilvl w:val="0"/>
          <w:numId w:val="14"/>
        </w:numPr>
        <w:spacing w:before="240"/>
      </w:pPr>
      <w:r>
        <w:lastRenderedPageBreak/>
        <w:t>Caso não seja</w:t>
      </w:r>
      <w:r w:rsidR="00C507ED">
        <w:t xml:space="preserve"> possível efetuar o envio ou o recebimento das mensagens, notificar os responsáveis o mais rapidamente possível.</w:t>
      </w:r>
    </w:p>
    <w:p w14:paraId="6A085225" w14:textId="09869D16" w:rsidR="004855B8" w:rsidRDefault="00625415" w:rsidP="004855B8">
      <w:pPr>
        <w:spacing w:before="240"/>
      </w:pPr>
      <w:r>
        <w:rPr>
          <w:noProof/>
        </w:rPr>
        <w:drawing>
          <wp:inline distT="0" distB="0" distL="0" distR="0" wp14:anchorId="2777A6AA" wp14:editId="4F4C94AD">
            <wp:extent cx="6383215" cy="2015160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142" cy="20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6FD6" w14:textId="65DD7749" w:rsidR="00C507ED" w:rsidRPr="00C507ED" w:rsidRDefault="00C60A92" w:rsidP="00C507ED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tabs>
          <w:tab w:val="left" w:pos="708"/>
          <w:tab w:val="left" w:pos="1416"/>
          <w:tab w:val="left" w:pos="2124"/>
          <w:tab w:val="left" w:pos="2832"/>
          <w:tab w:val="right" w:pos="10206"/>
        </w:tabs>
        <w:spacing w:before="100" w:after="0"/>
        <w:outlineLvl w:val="1"/>
        <w:rPr>
          <w:rFonts w:eastAsiaTheme="minorEastAsia"/>
          <w:caps/>
          <w:spacing w:val="15"/>
          <w:szCs w:val="20"/>
        </w:rPr>
      </w:pPr>
      <w:bookmarkStart w:id="5" w:name="_Toc78434209"/>
      <w:r>
        <w:rPr>
          <w:rFonts w:eastAsiaTheme="minorEastAsia"/>
          <w:caps/>
          <w:spacing w:val="15"/>
          <w:szCs w:val="20"/>
        </w:rPr>
        <w:t>4</w:t>
      </w:r>
      <w:r w:rsidR="00C507ED" w:rsidRPr="00C507ED">
        <w:rPr>
          <w:rFonts w:eastAsiaTheme="minorEastAsia"/>
          <w:caps/>
          <w:spacing w:val="15"/>
          <w:szCs w:val="20"/>
        </w:rPr>
        <w:t>.1.</w:t>
      </w:r>
      <w:r w:rsidR="00C507ED" w:rsidRPr="00C507ED">
        <w:rPr>
          <w:rFonts w:eastAsiaTheme="minorEastAsia"/>
          <w:caps/>
          <w:spacing w:val="15"/>
          <w:szCs w:val="20"/>
        </w:rPr>
        <w:tab/>
      </w:r>
      <w:bookmarkEnd w:id="5"/>
      <w:r w:rsidR="00C507ED" w:rsidRPr="00C507ED">
        <w:rPr>
          <w:rFonts w:eastAsiaTheme="minorEastAsia"/>
          <w:caps/>
          <w:spacing w:val="15"/>
          <w:szCs w:val="20"/>
        </w:rPr>
        <w:t>sAP ECC - CAMADA DE DESACOPLAMENTO</w:t>
      </w:r>
      <w:r w:rsidR="00C507ED" w:rsidRPr="00C507ED">
        <w:rPr>
          <w:rFonts w:eastAsiaTheme="minorEastAsia"/>
          <w:caps/>
          <w:spacing w:val="15"/>
          <w:szCs w:val="20"/>
        </w:rPr>
        <w:tab/>
      </w:r>
    </w:p>
    <w:p w14:paraId="2DD925A2" w14:textId="0618DDAC" w:rsidR="00C507ED" w:rsidRPr="00C507ED" w:rsidRDefault="00C507ED" w:rsidP="00C507ED">
      <w:pPr>
        <w:pStyle w:val="PargrafodaLista"/>
        <w:numPr>
          <w:ilvl w:val="0"/>
          <w:numId w:val="14"/>
        </w:numPr>
        <w:spacing w:before="240" w:after="0" w:line="240" w:lineRule="auto"/>
        <w:rPr>
          <w:szCs w:val="20"/>
        </w:rPr>
      </w:pPr>
      <w:r w:rsidRPr="00C507ED">
        <w:rPr>
          <w:szCs w:val="20"/>
        </w:rPr>
        <w:t xml:space="preserve">A Camada de Desacoplamento irá implementar </w:t>
      </w:r>
      <w:proofErr w:type="spellStart"/>
      <w:r w:rsidRPr="00C507ED">
        <w:rPr>
          <w:szCs w:val="20"/>
        </w:rPr>
        <w:t>endpoint</w:t>
      </w:r>
      <w:r w:rsidR="00364A62">
        <w:rPr>
          <w:szCs w:val="20"/>
        </w:rPr>
        <w:t>s</w:t>
      </w:r>
      <w:proofErr w:type="spellEnd"/>
      <w:r w:rsidRPr="00C507ED">
        <w:rPr>
          <w:szCs w:val="20"/>
        </w:rPr>
        <w:t xml:space="preserve"> </w:t>
      </w:r>
      <w:r w:rsidRPr="00C15949">
        <w:rPr>
          <w:color w:val="000000" w:themeColor="text1"/>
          <w:szCs w:val="20"/>
        </w:rPr>
        <w:t>REST</w:t>
      </w:r>
      <w:r w:rsidRPr="00C507ED">
        <w:rPr>
          <w:szCs w:val="20"/>
        </w:rPr>
        <w:t>, para o recebimento das informações</w:t>
      </w:r>
      <w:r w:rsidR="00364A62">
        <w:rPr>
          <w:szCs w:val="20"/>
        </w:rPr>
        <w:t xml:space="preserve"> do SAP ECC</w:t>
      </w:r>
      <w:r w:rsidRPr="00C507ED">
        <w:rPr>
          <w:szCs w:val="20"/>
        </w:rPr>
        <w:t>.</w:t>
      </w:r>
    </w:p>
    <w:p w14:paraId="1E1282E7" w14:textId="70594424" w:rsidR="00625415" w:rsidRDefault="00364A62" w:rsidP="000D4DB4">
      <w:pPr>
        <w:pStyle w:val="PargrafodaLista"/>
        <w:numPr>
          <w:ilvl w:val="0"/>
          <w:numId w:val="14"/>
        </w:numPr>
        <w:spacing w:before="240" w:after="0" w:line="240" w:lineRule="auto"/>
        <w:rPr>
          <w:szCs w:val="20"/>
        </w:rPr>
      </w:pPr>
      <w:r w:rsidRPr="00C507ED">
        <w:rPr>
          <w:szCs w:val="20"/>
        </w:rPr>
        <w:t>A</w:t>
      </w:r>
      <w:r>
        <w:rPr>
          <w:szCs w:val="20"/>
        </w:rPr>
        <w:t xml:space="preserve">s integrações serão construídas </w:t>
      </w:r>
      <w:r w:rsidRPr="00C507ED">
        <w:rPr>
          <w:szCs w:val="20"/>
        </w:rPr>
        <w:t>usando HTTPS/REST</w:t>
      </w:r>
      <w:r w:rsidR="00C60A92">
        <w:rPr>
          <w:szCs w:val="20"/>
        </w:rPr>
        <w:t>.</w:t>
      </w:r>
    </w:p>
    <w:p w14:paraId="4D19D54C" w14:textId="4BE173CD" w:rsidR="00012E42" w:rsidRPr="000D4DB4" w:rsidRDefault="00625415" w:rsidP="000D4DB4">
      <w:pPr>
        <w:pStyle w:val="PargrafodaLista"/>
        <w:numPr>
          <w:ilvl w:val="0"/>
          <w:numId w:val="14"/>
        </w:numPr>
        <w:spacing w:before="240" w:after="0" w:line="240" w:lineRule="auto"/>
        <w:rPr>
          <w:szCs w:val="20"/>
        </w:rPr>
      </w:pPr>
      <w:r>
        <w:rPr>
          <w:szCs w:val="20"/>
        </w:rPr>
        <w:t>Ao receber a informação, os dados serão armazenados no Kafka</w:t>
      </w:r>
      <w:r w:rsidR="00364A62" w:rsidRPr="00C507ED">
        <w:rPr>
          <w:szCs w:val="20"/>
        </w:rPr>
        <w:t>.</w:t>
      </w:r>
    </w:p>
    <w:p w14:paraId="0B6BF0D5" w14:textId="4EC1723E" w:rsidR="0074046D" w:rsidRDefault="0074046D" w:rsidP="0074046D">
      <w:pPr>
        <w:spacing w:before="240" w:after="0" w:line="240" w:lineRule="auto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54FDE017" wp14:editId="1776F706">
            <wp:extent cx="2580337" cy="3264877"/>
            <wp:effectExtent l="19050" t="19050" r="10795" b="12065"/>
            <wp:docPr id="9" name="Imagem 9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37" cy="3264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8ED46" w14:textId="49EF6D02" w:rsidR="0074046D" w:rsidRDefault="0074046D">
      <w:pPr>
        <w:spacing w:before="0" w:after="160" w:line="259" w:lineRule="auto"/>
        <w:jc w:val="left"/>
        <w:rPr>
          <w:szCs w:val="20"/>
        </w:rPr>
      </w:pPr>
      <w:r>
        <w:rPr>
          <w:szCs w:val="20"/>
        </w:rPr>
        <w:br w:type="page"/>
      </w:r>
    </w:p>
    <w:p w14:paraId="0135B8AD" w14:textId="77777777" w:rsidR="0074046D" w:rsidRPr="00364A62" w:rsidRDefault="0074046D" w:rsidP="00364A62">
      <w:pPr>
        <w:spacing w:before="240" w:after="0" w:line="240" w:lineRule="auto"/>
        <w:rPr>
          <w:szCs w:val="20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289"/>
        <w:gridCol w:w="4251"/>
        <w:gridCol w:w="1946"/>
        <w:gridCol w:w="1710"/>
      </w:tblGrid>
      <w:tr w:rsidR="005F1F1F" w14:paraId="4E4E4170" w14:textId="7DFB4C6B" w:rsidTr="0016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12DF345" w14:textId="77777777" w:rsidR="00C15949" w:rsidRDefault="00C15949" w:rsidP="00BF6413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Nome da Integração</w:t>
            </w:r>
          </w:p>
        </w:tc>
        <w:tc>
          <w:tcPr>
            <w:tcW w:w="2545" w:type="dxa"/>
          </w:tcPr>
          <w:p w14:paraId="3ADA88FD" w14:textId="77777777" w:rsidR="00C15949" w:rsidRDefault="00C15949" w:rsidP="00BF641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Especificação campos</w:t>
            </w:r>
          </w:p>
        </w:tc>
        <w:tc>
          <w:tcPr>
            <w:tcW w:w="1958" w:type="dxa"/>
          </w:tcPr>
          <w:p w14:paraId="6CC63377" w14:textId="77777777" w:rsidR="00C15949" w:rsidRDefault="00C15949" w:rsidP="00BF641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SAP - RFC de Envio</w:t>
            </w:r>
          </w:p>
        </w:tc>
        <w:tc>
          <w:tcPr>
            <w:tcW w:w="1744" w:type="dxa"/>
          </w:tcPr>
          <w:p w14:paraId="0AB1491B" w14:textId="77777777" w:rsidR="00C15949" w:rsidRDefault="00C15949" w:rsidP="00BF641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SAP PI - Envio</w:t>
            </w:r>
          </w:p>
        </w:tc>
      </w:tr>
      <w:tr w:rsidR="005F1F1F" w14:paraId="0966DA25" w14:textId="685CC73B" w:rsidTr="0058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B313B1B" w14:textId="77777777" w:rsidR="00C15949" w:rsidRDefault="00C15949" w:rsidP="0058386C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Empresa</w:t>
            </w:r>
          </w:p>
        </w:tc>
        <w:tc>
          <w:tcPr>
            <w:tcW w:w="2545" w:type="dxa"/>
          </w:tcPr>
          <w:p w14:paraId="1AB55759" w14:textId="1521CE12" w:rsidR="00C15949" w:rsidRPr="00C60A92" w:rsidRDefault="005F1F1F" w:rsidP="0058386C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Corp_RH_EstruturaOrganizacional_Empresa.yaml</w:t>
            </w:r>
            <w:proofErr w:type="spellEnd"/>
          </w:p>
        </w:tc>
        <w:tc>
          <w:tcPr>
            <w:tcW w:w="1958" w:type="dxa"/>
          </w:tcPr>
          <w:p w14:paraId="39E4B152" w14:textId="09E0672B" w:rsidR="00C15949" w:rsidRPr="00C60A92" w:rsidRDefault="00C15949" w:rsidP="0058386C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15737547" w14:textId="77777777" w:rsidR="00C15949" w:rsidRDefault="00C15949" w:rsidP="0058386C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2E47618C" w14:textId="18403EB6" w:rsidTr="0058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9CB7D81" w14:textId="77777777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Lotação</w:t>
            </w:r>
          </w:p>
        </w:tc>
        <w:tc>
          <w:tcPr>
            <w:tcW w:w="2545" w:type="dxa"/>
          </w:tcPr>
          <w:p w14:paraId="1E9AA352" w14:textId="1CA1FFBC" w:rsidR="00C15949" w:rsidRPr="00C60A92" w:rsidRDefault="005F1F1F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Corp_RH_EstruturaOrganizacional_</w:t>
            </w:r>
            <w:r>
              <w:rPr>
                <w:i/>
                <w:iCs/>
                <w:szCs w:val="20"/>
              </w:rPr>
              <w:t>Lotacao.yaml</w:t>
            </w:r>
            <w:proofErr w:type="spellEnd"/>
          </w:p>
        </w:tc>
        <w:tc>
          <w:tcPr>
            <w:tcW w:w="1958" w:type="dxa"/>
          </w:tcPr>
          <w:p w14:paraId="2D783205" w14:textId="59407599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7723AA40" w14:textId="77777777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6DB806A8" w14:textId="20D027A9" w:rsidTr="0058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375FAED" w14:textId="77777777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Setores</w:t>
            </w:r>
          </w:p>
        </w:tc>
        <w:tc>
          <w:tcPr>
            <w:tcW w:w="2545" w:type="dxa"/>
          </w:tcPr>
          <w:p w14:paraId="6027F903" w14:textId="375094F6" w:rsidR="00C15949" w:rsidRPr="00C60A92" w:rsidRDefault="00DE221D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DE221D">
              <w:rPr>
                <w:i/>
                <w:iCs/>
                <w:szCs w:val="20"/>
              </w:rPr>
              <w:t>Corp_RH_EstruturaOrganizacional_Setor</w:t>
            </w:r>
            <w:r>
              <w:rPr>
                <w:i/>
                <w:iCs/>
                <w:szCs w:val="20"/>
              </w:rPr>
              <w:t>.yaml</w:t>
            </w:r>
            <w:proofErr w:type="spellEnd"/>
          </w:p>
        </w:tc>
        <w:tc>
          <w:tcPr>
            <w:tcW w:w="1958" w:type="dxa"/>
          </w:tcPr>
          <w:p w14:paraId="7888DAA7" w14:textId="18EC4B0C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35392E75" w14:textId="77777777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4ECE1109" w14:textId="2A82D6FD" w:rsidTr="0058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7E45829" w14:textId="77777777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Tipo de Cargos</w:t>
            </w:r>
          </w:p>
        </w:tc>
        <w:tc>
          <w:tcPr>
            <w:tcW w:w="2545" w:type="dxa"/>
          </w:tcPr>
          <w:p w14:paraId="1E1703EC" w14:textId="5D2B6874" w:rsidR="00C15949" w:rsidRPr="00C60A92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73FE4534" w14:textId="3C07C461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7CB1DF3D" w14:textId="77777777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54EBA75A" w14:textId="2797FC2F" w:rsidTr="0058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2705312" w14:textId="77777777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Cargos</w:t>
            </w:r>
          </w:p>
        </w:tc>
        <w:tc>
          <w:tcPr>
            <w:tcW w:w="2545" w:type="dxa"/>
          </w:tcPr>
          <w:p w14:paraId="3A2FBA59" w14:textId="655322A0" w:rsidR="00C15949" w:rsidRPr="00C60A92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540CB5E2" w14:textId="11059FD9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06AA78DF" w14:textId="77777777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29235185" w14:textId="3166B7ED" w:rsidTr="0058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F800534" w14:textId="77777777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- Turno</w:t>
            </w:r>
          </w:p>
        </w:tc>
        <w:tc>
          <w:tcPr>
            <w:tcW w:w="2545" w:type="dxa"/>
          </w:tcPr>
          <w:p w14:paraId="1D54901B" w14:textId="416430F6" w:rsidR="00C15949" w:rsidRPr="00C60A92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50292B28" w14:textId="1FD1FCCF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56698515" w14:textId="77777777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014D3CCB" w14:textId="50E405C6" w:rsidTr="0058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AFB1B74" w14:textId="38152344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Funcionários</w:t>
            </w:r>
          </w:p>
        </w:tc>
        <w:tc>
          <w:tcPr>
            <w:tcW w:w="2545" w:type="dxa"/>
          </w:tcPr>
          <w:p w14:paraId="1E591D90" w14:textId="3BB7293B" w:rsidR="00C15949" w:rsidRPr="00C60A92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5BCFF0C8" w14:textId="55DC54C9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53550FD5" w14:textId="77777777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14C89066" w14:textId="5F7B1095" w:rsidTr="0058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B21E621" w14:textId="05B5F7BF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Tipo Funcionário</w:t>
            </w:r>
          </w:p>
        </w:tc>
        <w:tc>
          <w:tcPr>
            <w:tcW w:w="2545" w:type="dxa"/>
          </w:tcPr>
          <w:p w14:paraId="2E86442D" w14:textId="7CB58A6E" w:rsidR="00C15949" w:rsidRPr="00C60A92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6FF23C90" w14:textId="00AD76B8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3B0A4A13" w14:textId="77777777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468B5217" w14:textId="72C91CBF" w:rsidTr="0058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D585632" w14:textId="77777777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Centro de Custo</w:t>
            </w:r>
          </w:p>
        </w:tc>
        <w:tc>
          <w:tcPr>
            <w:tcW w:w="2545" w:type="dxa"/>
          </w:tcPr>
          <w:p w14:paraId="70EF9E64" w14:textId="5B8CA189" w:rsidR="00C15949" w:rsidRPr="00C60A92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339C67A0" w14:textId="19B02033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1240445D" w14:textId="77777777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4F6AE97D" w14:textId="20925E18" w:rsidTr="0058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9D91FEF" w14:textId="77777777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Classificador</w:t>
            </w:r>
          </w:p>
        </w:tc>
        <w:tc>
          <w:tcPr>
            <w:tcW w:w="2545" w:type="dxa"/>
          </w:tcPr>
          <w:p w14:paraId="49AAFD06" w14:textId="3D1DDD1C" w:rsidR="00C15949" w:rsidRPr="00C60A92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3FB9A9EB" w14:textId="14D01694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50B874F0" w14:textId="77777777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338FB0E5" w14:textId="204ED1B1" w:rsidTr="0058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38C3321" w14:textId="213806EB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Histórico Setor</w:t>
            </w:r>
          </w:p>
        </w:tc>
        <w:tc>
          <w:tcPr>
            <w:tcW w:w="2545" w:type="dxa"/>
          </w:tcPr>
          <w:p w14:paraId="44926735" w14:textId="3DB85AEE" w:rsidR="00C15949" w:rsidRPr="00C60A92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3F8E3D83" w14:textId="0DFEE6C6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4EDA9B96" w14:textId="77777777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5E5BE4C3" w14:textId="4954435A" w:rsidTr="0058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A820E25" w14:textId="71DE4123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Histórico Cargo</w:t>
            </w:r>
          </w:p>
        </w:tc>
        <w:tc>
          <w:tcPr>
            <w:tcW w:w="2545" w:type="dxa"/>
          </w:tcPr>
          <w:p w14:paraId="5A6569D2" w14:textId="64853B8B" w:rsidR="00C15949" w:rsidRPr="00C60A92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7F9988F5" w14:textId="06E80234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40281FE2" w14:textId="77777777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4F5CE5D0" w14:textId="2138DC67" w:rsidTr="0058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663E782" w14:textId="6E3FBADC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Histórico Funcionário</w:t>
            </w:r>
          </w:p>
        </w:tc>
        <w:tc>
          <w:tcPr>
            <w:tcW w:w="2545" w:type="dxa"/>
          </w:tcPr>
          <w:p w14:paraId="41B51176" w14:textId="664A3097" w:rsidR="00C15949" w:rsidRPr="00C60A92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5A6BAE49" w14:textId="0DA92C92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700A1F3A" w14:textId="77777777" w:rsidR="00C15949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F1F1F" w14:paraId="5F8ABF9A" w14:textId="570287A9" w:rsidTr="0058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9E92C36" w14:textId="2D3AFE9E" w:rsidR="00C15949" w:rsidRDefault="00C15949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Histórico Classificador</w:t>
            </w:r>
          </w:p>
        </w:tc>
        <w:tc>
          <w:tcPr>
            <w:tcW w:w="2545" w:type="dxa"/>
          </w:tcPr>
          <w:p w14:paraId="4151F0AE" w14:textId="4736FCAD" w:rsidR="00C15949" w:rsidRPr="00C60A92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de SAP ECC</w:t>
            </w:r>
          </w:p>
        </w:tc>
        <w:tc>
          <w:tcPr>
            <w:tcW w:w="1958" w:type="dxa"/>
          </w:tcPr>
          <w:p w14:paraId="7F8B0D9C" w14:textId="2E1F8431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766E">
              <w:rPr>
                <w:i/>
                <w:iCs/>
                <w:szCs w:val="20"/>
              </w:rPr>
              <w:t>Pendente de desenvolvimento</w:t>
            </w:r>
          </w:p>
        </w:tc>
        <w:tc>
          <w:tcPr>
            <w:tcW w:w="1744" w:type="dxa"/>
          </w:tcPr>
          <w:p w14:paraId="1496280A" w14:textId="77777777" w:rsidR="00C15949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8E56B15" w14:textId="6748357C" w:rsidR="000D4DB4" w:rsidRDefault="000D4DB4" w:rsidP="00364A62">
      <w:pPr>
        <w:spacing w:before="240" w:after="0" w:line="240" w:lineRule="auto"/>
        <w:rPr>
          <w:szCs w:val="20"/>
        </w:rPr>
      </w:pPr>
    </w:p>
    <w:p w14:paraId="5838C624" w14:textId="77777777" w:rsidR="000D4DB4" w:rsidRDefault="000D4DB4">
      <w:pPr>
        <w:spacing w:before="0" w:after="160" w:line="259" w:lineRule="auto"/>
        <w:jc w:val="left"/>
        <w:rPr>
          <w:szCs w:val="20"/>
        </w:rPr>
      </w:pPr>
      <w:r>
        <w:rPr>
          <w:szCs w:val="20"/>
        </w:rPr>
        <w:br w:type="page"/>
      </w:r>
    </w:p>
    <w:p w14:paraId="027540EB" w14:textId="77777777" w:rsidR="00C507ED" w:rsidRPr="00364A62" w:rsidRDefault="00C507ED" w:rsidP="00364A62">
      <w:pPr>
        <w:spacing w:before="240" w:after="0" w:line="240" w:lineRule="auto"/>
        <w:rPr>
          <w:szCs w:val="20"/>
        </w:rPr>
      </w:pPr>
    </w:p>
    <w:p w14:paraId="64078F50" w14:textId="3FEB754F" w:rsidR="00C507ED" w:rsidRPr="00364A62" w:rsidRDefault="00C60A92" w:rsidP="00364A62">
      <w:p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tabs>
          <w:tab w:val="left" w:pos="708"/>
          <w:tab w:val="left" w:pos="1416"/>
          <w:tab w:val="left" w:pos="2124"/>
          <w:tab w:val="left" w:pos="2832"/>
          <w:tab w:val="right" w:pos="10206"/>
        </w:tabs>
        <w:spacing w:before="100" w:after="0"/>
        <w:outlineLvl w:val="1"/>
        <w:rPr>
          <w:rFonts w:eastAsiaTheme="minorEastAsia"/>
          <w:caps/>
          <w:spacing w:val="15"/>
          <w:szCs w:val="20"/>
        </w:rPr>
      </w:pPr>
      <w:r>
        <w:rPr>
          <w:rFonts w:eastAsiaTheme="minorEastAsia"/>
          <w:caps/>
          <w:spacing w:val="15"/>
          <w:szCs w:val="20"/>
        </w:rPr>
        <w:t>4</w:t>
      </w:r>
      <w:r w:rsidR="00C507ED" w:rsidRPr="00364A62">
        <w:rPr>
          <w:rFonts w:eastAsiaTheme="minorEastAsia"/>
          <w:caps/>
          <w:spacing w:val="15"/>
          <w:szCs w:val="20"/>
        </w:rPr>
        <w:t>.2.</w:t>
      </w:r>
      <w:r w:rsidR="00C507ED" w:rsidRPr="00364A62">
        <w:rPr>
          <w:rFonts w:eastAsiaTheme="minorEastAsia"/>
          <w:caps/>
          <w:spacing w:val="15"/>
          <w:szCs w:val="20"/>
        </w:rPr>
        <w:tab/>
        <w:t>Camada de desacoplamento – Nexo</w:t>
      </w:r>
    </w:p>
    <w:p w14:paraId="196F4195" w14:textId="77777777" w:rsidR="00625415" w:rsidRDefault="00625415" w:rsidP="00625415">
      <w:pPr>
        <w:pStyle w:val="PargrafodaLista"/>
        <w:numPr>
          <w:ilvl w:val="0"/>
          <w:numId w:val="14"/>
        </w:numPr>
        <w:spacing w:before="240" w:after="0" w:line="240" w:lineRule="auto"/>
        <w:rPr>
          <w:szCs w:val="20"/>
        </w:rPr>
      </w:pPr>
      <w:r>
        <w:rPr>
          <w:szCs w:val="20"/>
        </w:rPr>
        <w:t>Os eventos disparadores de informações do Nexo, serão assíncronos. Após o recebimento das informações do RH, outros eventos irão enviar as informações ao Nexo.</w:t>
      </w:r>
    </w:p>
    <w:p w14:paraId="73336C4F" w14:textId="4B990B39" w:rsidR="00C507ED" w:rsidRDefault="00BF6413" w:rsidP="00625415">
      <w:pPr>
        <w:pStyle w:val="PargrafodaLista"/>
        <w:numPr>
          <w:ilvl w:val="0"/>
          <w:numId w:val="14"/>
        </w:numPr>
        <w:spacing w:before="240" w:after="0" w:line="240" w:lineRule="auto"/>
        <w:rPr>
          <w:szCs w:val="20"/>
        </w:rPr>
      </w:pPr>
      <w:r w:rsidRPr="00625415">
        <w:rPr>
          <w:szCs w:val="20"/>
        </w:rPr>
        <w:t xml:space="preserve">A Nexo possui </w:t>
      </w:r>
      <w:r w:rsidR="00160493" w:rsidRPr="00625415">
        <w:rPr>
          <w:szCs w:val="20"/>
        </w:rPr>
        <w:t xml:space="preserve">um conjunto de integrações prontas para os seus clientes, com </w:t>
      </w:r>
      <w:proofErr w:type="spellStart"/>
      <w:r w:rsidR="00160493" w:rsidRPr="00625415">
        <w:rPr>
          <w:szCs w:val="20"/>
        </w:rPr>
        <w:t>endpoints</w:t>
      </w:r>
      <w:proofErr w:type="spellEnd"/>
      <w:r w:rsidR="00160493" w:rsidRPr="00625415">
        <w:rPr>
          <w:szCs w:val="20"/>
        </w:rPr>
        <w:t xml:space="preserve"> em REST </w:t>
      </w:r>
      <w:r w:rsidR="00C507ED" w:rsidRPr="00625415">
        <w:rPr>
          <w:szCs w:val="20"/>
        </w:rPr>
        <w:t>para o recebimento das informações.</w:t>
      </w:r>
    </w:p>
    <w:p w14:paraId="4950651F" w14:textId="27223BBC" w:rsidR="00B91CC3" w:rsidRDefault="00B91CC3" w:rsidP="00625415">
      <w:pPr>
        <w:pStyle w:val="PargrafodaLista"/>
        <w:numPr>
          <w:ilvl w:val="0"/>
          <w:numId w:val="14"/>
        </w:numPr>
        <w:spacing w:before="240" w:after="0" w:line="240" w:lineRule="auto"/>
        <w:rPr>
          <w:szCs w:val="20"/>
        </w:rPr>
      </w:pPr>
      <w:r>
        <w:rPr>
          <w:szCs w:val="20"/>
        </w:rPr>
        <w:t>No momento de envio de informações da Nexo, é necessário verificar se aquele ID já existe no sistema da Nexo. Para isso, será necessário efetuar o método GET, fazer a confirmação e depois decidir se o método a ser utilizado é POST (Inclusão) ou Patch (Alteração). Exemplificado no Diagrama de Sequência abaixo.</w:t>
      </w:r>
    </w:p>
    <w:p w14:paraId="7B980D8A" w14:textId="5736FF59" w:rsidR="00B91CC3" w:rsidRDefault="00B91CC3" w:rsidP="00B91CC3">
      <w:pPr>
        <w:pStyle w:val="PargrafodaLista"/>
        <w:spacing w:before="240" w:after="0" w:line="240" w:lineRule="auto"/>
        <w:rPr>
          <w:szCs w:val="20"/>
        </w:rPr>
      </w:pPr>
    </w:p>
    <w:p w14:paraId="5B794ACA" w14:textId="04EAEE5C" w:rsidR="005E53EC" w:rsidRDefault="005E53EC" w:rsidP="00B91CC3">
      <w:pPr>
        <w:pStyle w:val="PargrafodaLista"/>
        <w:spacing w:before="240" w:after="0" w:line="240" w:lineRule="auto"/>
        <w:rPr>
          <w:szCs w:val="20"/>
        </w:rPr>
      </w:pPr>
      <w:r>
        <w:rPr>
          <w:szCs w:val="20"/>
        </w:rPr>
        <w:t>O Diagrama de Sequência aborda como exemplo o envio de Empresas, porém utilizará essa lógica para todos os eventos de comunicação entre Light -&gt; Nexo.</w:t>
      </w:r>
    </w:p>
    <w:p w14:paraId="0FF92F59" w14:textId="675A5D4E" w:rsidR="00B91CC3" w:rsidRDefault="00B91CC3" w:rsidP="00B91CC3">
      <w:pPr>
        <w:pStyle w:val="PargrafodaLista"/>
        <w:spacing w:before="240" w:after="0" w:line="240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 wp14:anchorId="386D7CC6" wp14:editId="130DDF9F">
            <wp:extent cx="4518660" cy="351274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86" cy="351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3CCE" w14:textId="616C3397" w:rsidR="00B91CC3" w:rsidRDefault="00B91CC3" w:rsidP="00B91CC3">
      <w:pPr>
        <w:spacing w:before="240" w:after="0" w:line="240" w:lineRule="auto"/>
        <w:rPr>
          <w:szCs w:val="20"/>
        </w:rPr>
      </w:pPr>
      <w:r>
        <w:rPr>
          <w:szCs w:val="20"/>
        </w:rPr>
        <w:t>Relação de Integrações a serem enviadas ao Nexo.</w:t>
      </w:r>
    </w:p>
    <w:p w14:paraId="7DECFF3C" w14:textId="3771E429" w:rsidR="00B91CC3" w:rsidRPr="00B91CC3" w:rsidRDefault="00C15949" w:rsidP="00B91CC3">
      <w:pPr>
        <w:spacing w:before="240" w:after="0" w:line="240" w:lineRule="auto"/>
        <w:rPr>
          <w:szCs w:val="20"/>
        </w:rPr>
      </w:pPr>
      <w:proofErr w:type="gramStart"/>
      <w:r>
        <w:rPr>
          <w:szCs w:val="20"/>
        </w:rPr>
        <w:t>O detalhamento estão</w:t>
      </w:r>
      <w:proofErr w:type="gramEnd"/>
      <w:r>
        <w:rPr>
          <w:szCs w:val="20"/>
        </w:rPr>
        <w:t xml:space="preserve"> no arquivo “</w:t>
      </w:r>
      <w:r w:rsidRPr="00C15949">
        <w:rPr>
          <w:szCs w:val="20"/>
        </w:rPr>
        <w:t>20221031_SAPRH_DE_PARA_NEXO</w:t>
      </w:r>
      <w:r>
        <w:rPr>
          <w:szCs w:val="20"/>
        </w:rPr>
        <w:t>.xlsx”, disponibilizados em conjunto com esse documento.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322"/>
        <w:gridCol w:w="2545"/>
        <w:gridCol w:w="1627"/>
      </w:tblGrid>
      <w:tr w:rsidR="000D4DB4" w14:paraId="286CDFD7" w14:textId="77777777" w:rsidTr="00DF4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BEA4BC3" w14:textId="77777777" w:rsidR="000D4DB4" w:rsidRDefault="000D4DB4" w:rsidP="00DF40A2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Nome da Integração</w:t>
            </w:r>
          </w:p>
        </w:tc>
        <w:tc>
          <w:tcPr>
            <w:tcW w:w="2545" w:type="dxa"/>
          </w:tcPr>
          <w:p w14:paraId="26695D12" w14:textId="0406F2F7" w:rsidR="000D4DB4" w:rsidRDefault="00C60A92" w:rsidP="00DF40A2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De-para</w:t>
            </w:r>
            <w:proofErr w:type="spellEnd"/>
            <w:r w:rsidR="000D4DB4">
              <w:rPr>
                <w:szCs w:val="20"/>
              </w:rPr>
              <w:t xml:space="preserve"> campos</w:t>
            </w:r>
          </w:p>
        </w:tc>
        <w:tc>
          <w:tcPr>
            <w:tcW w:w="1627" w:type="dxa"/>
          </w:tcPr>
          <w:p w14:paraId="4DC562D2" w14:textId="77777777" w:rsidR="000D4DB4" w:rsidRDefault="000D4DB4" w:rsidP="00DF40A2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Nexo - </w:t>
            </w:r>
            <w:proofErr w:type="spellStart"/>
            <w:r>
              <w:rPr>
                <w:szCs w:val="20"/>
              </w:rPr>
              <w:t>Endpoint</w:t>
            </w:r>
            <w:proofErr w:type="spellEnd"/>
          </w:p>
        </w:tc>
      </w:tr>
      <w:tr w:rsidR="00C60A92" w14:paraId="41771E57" w14:textId="77777777" w:rsidTr="00DF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3D414DE" w14:textId="77777777" w:rsidR="00C60A92" w:rsidRDefault="00C60A92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Empresa</w:t>
            </w:r>
          </w:p>
        </w:tc>
        <w:tc>
          <w:tcPr>
            <w:tcW w:w="2545" w:type="dxa"/>
          </w:tcPr>
          <w:p w14:paraId="2A3179B8" w14:textId="03610597" w:rsidR="00C60A92" w:rsidRDefault="00C15949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i/>
                <w:iCs/>
                <w:szCs w:val="20"/>
              </w:rPr>
              <w:t xml:space="preserve">Aba </w:t>
            </w:r>
            <w:r w:rsidRPr="00C15949">
              <w:rPr>
                <w:i/>
                <w:iCs/>
                <w:szCs w:val="20"/>
              </w:rPr>
              <w:t>Empresa</w:t>
            </w:r>
          </w:p>
        </w:tc>
        <w:tc>
          <w:tcPr>
            <w:tcW w:w="1627" w:type="dxa"/>
          </w:tcPr>
          <w:p w14:paraId="33CC58CA" w14:textId="77DF0AFC" w:rsidR="00C60A92" w:rsidRDefault="00C60A92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Empresa</w:t>
            </w:r>
          </w:p>
        </w:tc>
      </w:tr>
      <w:tr w:rsidR="00C60A92" w14:paraId="7CA2EB7B" w14:textId="77777777" w:rsidTr="00DF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1D3CB19" w14:textId="77777777" w:rsidR="00C60A92" w:rsidRDefault="00C60A92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Lotação</w:t>
            </w:r>
          </w:p>
        </w:tc>
        <w:tc>
          <w:tcPr>
            <w:tcW w:w="2545" w:type="dxa"/>
          </w:tcPr>
          <w:p w14:paraId="0523293F" w14:textId="50DFBE1C" w:rsidR="00C60A92" w:rsidRDefault="007C0F06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i/>
                <w:iCs/>
                <w:szCs w:val="20"/>
              </w:rPr>
              <w:t xml:space="preserve">Aba </w:t>
            </w:r>
            <w:proofErr w:type="spellStart"/>
            <w:r>
              <w:rPr>
                <w:i/>
                <w:iCs/>
                <w:szCs w:val="20"/>
              </w:rPr>
              <w:t>Lotacao</w:t>
            </w:r>
            <w:proofErr w:type="spellEnd"/>
          </w:p>
        </w:tc>
        <w:tc>
          <w:tcPr>
            <w:tcW w:w="1627" w:type="dxa"/>
          </w:tcPr>
          <w:p w14:paraId="0D5B24E4" w14:textId="4591571D" w:rsidR="00C60A92" w:rsidRDefault="00C60A92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Lotacao</w:t>
            </w:r>
            <w:proofErr w:type="spellEnd"/>
          </w:p>
        </w:tc>
      </w:tr>
      <w:tr w:rsidR="00C60A92" w14:paraId="0D629B2E" w14:textId="77777777" w:rsidTr="00DF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130D7C8" w14:textId="77777777" w:rsidR="00C60A92" w:rsidRDefault="00C60A92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Setores</w:t>
            </w:r>
          </w:p>
        </w:tc>
        <w:tc>
          <w:tcPr>
            <w:tcW w:w="2545" w:type="dxa"/>
          </w:tcPr>
          <w:p w14:paraId="19D2BE25" w14:textId="33AE8EFC" w:rsidR="00C60A92" w:rsidRDefault="007C0F06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i/>
                <w:iCs/>
                <w:szCs w:val="20"/>
              </w:rPr>
              <w:t>Aba Setor</w:t>
            </w:r>
          </w:p>
        </w:tc>
        <w:tc>
          <w:tcPr>
            <w:tcW w:w="1627" w:type="dxa"/>
          </w:tcPr>
          <w:p w14:paraId="301E16EF" w14:textId="73C7C79A" w:rsidR="00C60A92" w:rsidRDefault="00C60A92" w:rsidP="00C60A92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entendimento</w:t>
            </w:r>
          </w:p>
        </w:tc>
      </w:tr>
      <w:tr w:rsidR="00C60A92" w14:paraId="313A8532" w14:textId="77777777" w:rsidTr="00DF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AE7EAB6" w14:textId="77777777" w:rsidR="00C60A92" w:rsidRDefault="00C60A92" w:rsidP="00C60A92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Tipo de Cargos</w:t>
            </w:r>
          </w:p>
        </w:tc>
        <w:tc>
          <w:tcPr>
            <w:tcW w:w="2545" w:type="dxa"/>
          </w:tcPr>
          <w:p w14:paraId="4E240808" w14:textId="4AB01CFB" w:rsidR="00C60A92" w:rsidRDefault="00C60A92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0A92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1B33E73B" w14:textId="02FC25E6" w:rsidR="00C60A92" w:rsidRDefault="00C15949" w:rsidP="00C60A92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i/>
                <w:iCs/>
                <w:szCs w:val="20"/>
              </w:rPr>
              <w:t>Atividade Profissional</w:t>
            </w:r>
          </w:p>
        </w:tc>
      </w:tr>
      <w:tr w:rsidR="007C0F06" w14:paraId="7CEBFB81" w14:textId="77777777" w:rsidTr="00DF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D14A2EF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RH – Cargos</w:t>
            </w:r>
          </w:p>
        </w:tc>
        <w:tc>
          <w:tcPr>
            <w:tcW w:w="2545" w:type="dxa"/>
          </w:tcPr>
          <w:p w14:paraId="0BBB8784" w14:textId="6DA0CDBA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5DED8AA0" w14:textId="79B5FEBB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</w:tr>
      <w:tr w:rsidR="007C0F06" w14:paraId="480948CC" w14:textId="77777777" w:rsidTr="00DF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41C8CD6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- Turno</w:t>
            </w:r>
          </w:p>
        </w:tc>
        <w:tc>
          <w:tcPr>
            <w:tcW w:w="2545" w:type="dxa"/>
          </w:tcPr>
          <w:p w14:paraId="5653A2B7" w14:textId="479D96EA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1EE165C0" w14:textId="7BF1C75C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Turno</w:t>
            </w:r>
          </w:p>
        </w:tc>
      </w:tr>
      <w:tr w:rsidR="007C0F06" w14:paraId="783B86ED" w14:textId="77777777" w:rsidTr="00DF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73A8FFB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Funcionários</w:t>
            </w:r>
          </w:p>
        </w:tc>
        <w:tc>
          <w:tcPr>
            <w:tcW w:w="2545" w:type="dxa"/>
          </w:tcPr>
          <w:p w14:paraId="0CB249CF" w14:textId="169EA96D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19414688" w14:textId="34AA5026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Funcionario</w:t>
            </w:r>
            <w:proofErr w:type="spellEnd"/>
          </w:p>
        </w:tc>
      </w:tr>
      <w:tr w:rsidR="007C0F06" w14:paraId="2E51CC70" w14:textId="77777777" w:rsidTr="00DF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EB422CB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Tipo Funcionário</w:t>
            </w:r>
          </w:p>
        </w:tc>
        <w:tc>
          <w:tcPr>
            <w:tcW w:w="2545" w:type="dxa"/>
          </w:tcPr>
          <w:p w14:paraId="7FA78069" w14:textId="4309E0E4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7DC5F4EB" w14:textId="04D19F78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entendimento</w:t>
            </w:r>
          </w:p>
        </w:tc>
      </w:tr>
      <w:tr w:rsidR="007C0F06" w14:paraId="159E8D4F" w14:textId="77777777" w:rsidTr="00DF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31CC247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Centro de Custo</w:t>
            </w:r>
          </w:p>
        </w:tc>
        <w:tc>
          <w:tcPr>
            <w:tcW w:w="2545" w:type="dxa"/>
          </w:tcPr>
          <w:p w14:paraId="5155CC3F" w14:textId="010DFBA7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533E3C5D" w14:textId="78DF7404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entendimento</w:t>
            </w:r>
          </w:p>
        </w:tc>
      </w:tr>
      <w:tr w:rsidR="007C0F06" w14:paraId="069AF423" w14:textId="77777777" w:rsidTr="00DF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E9FDB26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Classificador</w:t>
            </w:r>
          </w:p>
        </w:tc>
        <w:tc>
          <w:tcPr>
            <w:tcW w:w="2545" w:type="dxa"/>
          </w:tcPr>
          <w:p w14:paraId="55A73DA2" w14:textId="7D80B88A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2203CB4C" w14:textId="5D11282A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Classificador</w:t>
            </w:r>
          </w:p>
        </w:tc>
      </w:tr>
      <w:tr w:rsidR="007C0F06" w14:paraId="13E8179B" w14:textId="77777777" w:rsidTr="00DF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19487CF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Histórico Setor</w:t>
            </w:r>
          </w:p>
        </w:tc>
        <w:tc>
          <w:tcPr>
            <w:tcW w:w="2545" w:type="dxa"/>
          </w:tcPr>
          <w:p w14:paraId="3A2AC04E" w14:textId="52051C96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32C6E912" w14:textId="763EAB38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entendimento</w:t>
            </w:r>
          </w:p>
        </w:tc>
      </w:tr>
      <w:tr w:rsidR="007C0F06" w14:paraId="55245574" w14:textId="77777777" w:rsidTr="00DF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9DE5466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Histórico Cargo</w:t>
            </w:r>
          </w:p>
        </w:tc>
        <w:tc>
          <w:tcPr>
            <w:tcW w:w="2545" w:type="dxa"/>
          </w:tcPr>
          <w:p w14:paraId="7158A4A5" w14:textId="48AB054C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37190011" w14:textId="5D3B8CFC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entendimento</w:t>
            </w:r>
          </w:p>
        </w:tc>
      </w:tr>
      <w:tr w:rsidR="007C0F06" w14:paraId="7E6E5C7F" w14:textId="77777777" w:rsidTr="00DF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DEF35B4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Histórico Funcionário</w:t>
            </w:r>
          </w:p>
        </w:tc>
        <w:tc>
          <w:tcPr>
            <w:tcW w:w="2545" w:type="dxa"/>
          </w:tcPr>
          <w:p w14:paraId="0CEC302E" w14:textId="165715F2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45699462" w14:textId="509C934F" w:rsidR="007C0F06" w:rsidRDefault="007C0F06" w:rsidP="007C0F06">
            <w:pPr>
              <w:spacing w:before="24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entendimento</w:t>
            </w:r>
          </w:p>
        </w:tc>
      </w:tr>
      <w:tr w:rsidR="007C0F06" w14:paraId="18716EE7" w14:textId="77777777" w:rsidTr="00DF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ADF7FBA" w14:textId="77777777" w:rsidR="007C0F06" w:rsidRDefault="007C0F06" w:rsidP="007C0F06">
            <w:pPr>
              <w:spacing w:before="240"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RH – Histórico Classificador</w:t>
            </w:r>
          </w:p>
        </w:tc>
        <w:tc>
          <w:tcPr>
            <w:tcW w:w="2545" w:type="dxa"/>
          </w:tcPr>
          <w:p w14:paraId="1B33EBB3" w14:textId="42728EDA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75FA">
              <w:rPr>
                <w:i/>
                <w:iCs/>
                <w:szCs w:val="20"/>
              </w:rPr>
              <w:t>Pendente</w:t>
            </w:r>
          </w:p>
        </w:tc>
        <w:tc>
          <w:tcPr>
            <w:tcW w:w="1627" w:type="dxa"/>
          </w:tcPr>
          <w:p w14:paraId="0803E4E9" w14:textId="21CC2FE4" w:rsidR="007C0F06" w:rsidRDefault="007C0F06" w:rsidP="007C0F06">
            <w:pPr>
              <w:spacing w:before="24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0A92">
              <w:rPr>
                <w:i/>
                <w:iCs/>
                <w:szCs w:val="20"/>
              </w:rPr>
              <w:t>Pendente entendimento</w:t>
            </w:r>
          </w:p>
        </w:tc>
      </w:tr>
    </w:tbl>
    <w:p w14:paraId="578D55B5" w14:textId="0C04E242" w:rsidR="00995C18" w:rsidRDefault="00995C18" w:rsidP="00A63C3F">
      <w:pPr>
        <w:spacing w:before="100" w:after="100"/>
        <w:rPr>
          <w:rFonts w:eastAsiaTheme="minorEastAsia"/>
          <w:szCs w:val="20"/>
        </w:rPr>
      </w:pPr>
    </w:p>
    <w:p w14:paraId="70501B0F" w14:textId="1E83449E" w:rsidR="00012E42" w:rsidRDefault="00012E42">
      <w:pPr>
        <w:spacing w:before="0" w:after="160" w:line="259" w:lineRule="auto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br w:type="page"/>
      </w:r>
    </w:p>
    <w:p w14:paraId="2CEC3565" w14:textId="77777777" w:rsidR="00995C18" w:rsidRDefault="00995C18" w:rsidP="00A63C3F">
      <w:pPr>
        <w:spacing w:before="100" w:after="100"/>
        <w:rPr>
          <w:rFonts w:eastAsiaTheme="minorEastAsia"/>
          <w:szCs w:val="20"/>
        </w:rPr>
      </w:pPr>
    </w:p>
    <w:p w14:paraId="1AAAAB51" w14:textId="6B00E941" w:rsidR="00CE676E" w:rsidRDefault="00C60A92" w:rsidP="00CE676E">
      <w:pPr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100" w:after="0"/>
        <w:outlineLvl w:val="0"/>
        <w:rPr>
          <w:rFonts w:eastAsiaTheme="minorEastAsia"/>
          <w:caps/>
          <w:color w:val="FFFFFF" w:themeColor="background1"/>
          <w:spacing w:val="15"/>
        </w:rPr>
      </w:pPr>
      <w:bookmarkStart w:id="6" w:name="_Toc78434205"/>
      <w:r>
        <w:rPr>
          <w:rFonts w:eastAsiaTheme="minorEastAsia"/>
          <w:caps/>
          <w:color w:val="FFFFFF" w:themeColor="background1"/>
          <w:spacing w:val="15"/>
        </w:rPr>
        <w:t>5</w:t>
      </w:r>
      <w:r w:rsidR="00CE676E">
        <w:rPr>
          <w:rFonts w:eastAsiaTheme="minorEastAsia"/>
          <w:caps/>
          <w:color w:val="FFFFFF" w:themeColor="background1"/>
          <w:spacing w:val="15"/>
        </w:rPr>
        <w:t>.</w:t>
      </w:r>
      <w:r w:rsidR="00CE676E">
        <w:rPr>
          <w:rFonts w:eastAsiaTheme="minorEastAsia"/>
          <w:caps/>
          <w:color w:val="FFFFFF" w:themeColor="background1"/>
          <w:spacing w:val="15"/>
        </w:rPr>
        <w:tab/>
      </w:r>
      <w:bookmarkEnd w:id="6"/>
      <w:r w:rsidR="00012E42">
        <w:rPr>
          <w:rFonts w:eastAsiaTheme="minorEastAsia"/>
          <w:caps/>
          <w:color w:val="FFFFFF" w:themeColor="background1"/>
          <w:spacing w:val="15"/>
        </w:rPr>
        <w:t>Cenários avaliados</w:t>
      </w:r>
    </w:p>
    <w:p w14:paraId="29B6F7E9" w14:textId="48941848" w:rsidR="00A2434C" w:rsidRDefault="00625415" w:rsidP="00A2434C">
      <w:r>
        <w:t xml:space="preserve">Cenários </w:t>
      </w:r>
      <w:proofErr w:type="gramStart"/>
      <w:r>
        <w:t xml:space="preserve">avaliados </w:t>
      </w:r>
      <w:r w:rsidR="00550901">
        <w:t>:</w:t>
      </w:r>
      <w:proofErr w:type="gramEnd"/>
    </w:p>
    <w:p w14:paraId="233769B5" w14:textId="0136CA0B" w:rsidR="00F336CA" w:rsidRPr="00550901" w:rsidRDefault="00625415" w:rsidP="00625415">
      <w:pPr>
        <w:pStyle w:val="PargrafodaLista"/>
        <w:numPr>
          <w:ilvl w:val="0"/>
          <w:numId w:val="15"/>
        </w:numPr>
        <w:rPr>
          <w:b/>
          <w:szCs w:val="20"/>
        </w:rPr>
      </w:pPr>
      <w:r w:rsidRPr="00550901">
        <w:rPr>
          <w:b/>
          <w:szCs w:val="20"/>
        </w:rPr>
        <w:t>Persistência dos dados dentro da Camada de Desacoplamento</w:t>
      </w:r>
    </w:p>
    <w:p w14:paraId="2DF1A944" w14:textId="3A2FE0BB" w:rsidR="00C60A92" w:rsidRDefault="00762E32" w:rsidP="00C60A92">
      <w:pPr>
        <w:pStyle w:val="PargrafodaLista"/>
        <w:rPr>
          <w:bCs/>
          <w:szCs w:val="20"/>
        </w:rPr>
      </w:pPr>
      <w:r>
        <w:rPr>
          <w:bCs/>
          <w:szCs w:val="20"/>
        </w:rPr>
        <w:t>Em tempo de HLD, foi avaliado com o time de Arquitetura de Integração a possibilidade de persistir os dados de colaboradores dentro da Camada de Desacoplamento. Na nossa avaliação, foi visto que traria uma responsabilidade de manter a sanidade dos dados que não deve</w:t>
      </w:r>
      <w:r w:rsidR="00550901">
        <w:rPr>
          <w:bCs/>
          <w:szCs w:val="20"/>
        </w:rPr>
        <w:t xml:space="preserve">ria ficar com a Camada de Desacoplamento, por isso os dados de estrutura organizacional e colaboradores não </w:t>
      </w:r>
      <w:r w:rsidR="00640483">
        <w:rPr>
          <w:bCs/>
          <w:szCs w:val="20"/>
        </w:rPr>
        <w:t>ficarão</w:t>
      </w:r>
      <w:r w:rsidR="00550901">
        <w:rPr>
          <w:bCs/>
          <w:szCs w:val="20"/>
        </w:rPr>
        <w:t xml:space="preserve"> salvo</w:t>
      </w:r>
      <w:r w:rsidR="00640483">
        <w:rPr>
          <w:bCs/>
          <w:szCs w:val="20"/>
        </w:rPr>
        <w:t>s</w:t>
      </w:r>
      <w:r w:rsidR="00550901">
        <w:rPr>
          <w:bCs/>
          <w:szCs w:val="20"/>
        </w:rPr>
        <w:t xml:space="preserve"> na Camada de Desacoplamento.</w:t>
      </w:r>
    </w:p>
    <w:p w14:paraId="6CAEA059" w14:textId="77777777" w:rsidR="00762E32" w:rsidRPr="00762E32" w:rsidRDefault="00762E32" w:rsidP="00C60A92">
      <w:pPr>
        <w:pStyle w:val="PargrafodaLista"/>
        <w:rPr>
          <w:bCs/>
          <w:szCs w:val="20"/>
        </w:rPr>
      </w:pPr>
    </w:p>
    <w:p w14:paraId="6217E86C" w14:textId="74746270" w:rsidR="00625415" w:rsidRDefault="00AE3A0B" w:rsidP="00AE3A0B">
      <w:pPr>
        <w:pStyle w:val="PargrafodaLista"/>
        <w:numPr>
          <w:ilvl w:val="0"/>
          <w:numId w:val="15"/>
        </w:numPr>
        <w:rPr>
          <w:b/>
          <w:szCs w:val="20"/>
        </w:rPr>
      </w:pPr>
      <w:r w:rsidRPr="00550901">
        <w:rPr>
          <w:b/>
          <w:szCs w:val="20"/>
        </w:rPr>
        <w:t>Validação de ID do lado do Nexo</w:t>
      </w:r>
    </w:p>
    <w:p w14:paraId="2FF14C30" w14:textId="0F45822D" w:rsidR="00550901" w:rsidRDefault="00550901" w:rsidP="00550901">
      <w:pPr>
        <w:pStyle w:val="PargrafodaLista"/>
        <w:rPr>
          <w:bCs/>
          <w:szCs w:val="20"/>
        </w:rPr>
      </w:pPr>
      <w:r w:rsidRPr="00550901">
        <w:rPr>
          <w:bCs/>
          <w:szCs w:val="20"/>
        </w:rPr>
        <w:t>A Nexo</w:t>
      </w:r>
      <w:r>
        <w:rPr>
          <w:bCs/>
          <w:szCs w:val="20"/>
        </w:rPr>
        <w:t xml:space="preserve"> possui métodos em seus </w:t>
      </w:r>
      <w:proofErr w:type="spellStart"/>
      <w:r>
        <w:rPr>
          <w:bCs/>
          <w:szCs w:val="20"/>
        </w:rPr>
        <w:t>endPoints</w:t>
      </w:r>
      <w:proofErr w:type="spellEnd"/>
      <w:r>
        <w:rPr>
          <w:bCs/>
          <w:szCs w:val="20"/>
        </w:rPr>
        <w:t xml:space="preserve"> que exigem que seja feita uma verificação se o registro já existe ou não do lado deles. Por isso, no tópico 4.2 foi elaborado um Diagrama de Sequências para detalhar como deverá ser feito a chamada ao Nexo.</w:t>
      </w:r>
    </w:p>
    <w:p w14:paraId="398C0167" w14:textId="77777777" w:rsidR="00550901" w:rsidRPr="00550901" w:rsidRDefault="00550901" w:rsidP="00550901">
      <w:pPr>
        <w:pStyle w:val="PargrafodaLista"/>
        <w:rPr>
          <w:bCs/>
          <w:szCs w:val="20"/>
        </w:rPr>
      </w:pPr>
    </w:p>
    <w:p w14:paraId="29A0F093" w14:textId="40492848" w:rsidR="00625415" w:rsidRDefault="00625415" w:rsidP="00625415">
      <w:pPr>
        <w:pStyle w:val="PargrafodaLista"/>
        <w:numPr>
          <w:ilvl w:val="0"/>
          <w:numId w:val="15"/>
        </w:numPr>
        <w:rPr>
          <w:b/>
          <w:szCs w:val="20"/>
        </w:rPr>
      </w:pPr>
      <w:r w:rsidRPr="00550901">
        <w:rPr>
          <w:b/>
          <w:szCs w:val="20"/>
        </w:rPr>
        <w:t xml:space="preserve">Integração com o </w:t>
      </w:r>
      <w:proofErr w:type="spellStart"/>
      <w:r w:rsidRPr="00550901">
        <w:rPr>
          <w:b/>
          <w:szCs w:val="20"/>
        </w:rPr>
        <w:t>FPw</w:t>
      </w:r>
      <w:proofErr w:type="spellEnd"/>
    </w:p>
    <w:p w14:paraId="519B3523" w14:textId="791960B5" w:rsidR="00550901" w:rsidRPr="00550901" w:rsidRDefault="00640483" w:rsidP="00550901">
      <w:pPr>
        <w:pStyle w:val="PargrafodaLista"/>
        <w:rPr>
          <w:bCs/>
          <w:szCs w:val="20"/>
        </w:rPr>
      </w:pPr>
      <w:r>
        <w:rPr>
          <w:bCs/>
          <w:szCs w:val="20"/>
        </w:rPr>
        <w:t xml:space="preserve">Na reunião </w:t>
      </w:r>
      <w:r w:rsidR="005E53EC">
        <w:rPr>
          <w:bCs/>
          <w:szCs w:val="20"/>
        </w:rPr>
        <w:t xml:space="preserve">de </w:t>
      </w:r>
      <w:proofErr w:type="spellStart"/>
      <w:r w:rsidR="005E53EC">
        <w:rPr>
          <w:bCs/>
          <w:szCs w:val="20"/>
        </w:rPr>
        <w:t>esclarescimento</w:t>
      </w:r>
      <w:proofErr w:type="spellEnd"/>
      <w:r w:rsidR="005E53EC">
        <w:rPr>
          <w:bCs/>
          <w:szCs w:val="20"/>
        </w:rPr>
        <w:t xml:space="preserve"> com o time da LG, eles falaram da proposta de utilizar o Integra Fácil do </w:t>
      </w:r>
      <w:proofErr w:type="spellStart"/>
      <w:r w:rsidR="005E53EC">
        <w:rPr>
          <w:bCs/>
          <w:szCs w:val="20"/>
        </w:rPr>
        <w:t>FPw</w:t>
      </w:r>
      <w:proofErr w:type="spellEnd"/>
      <w:r w:rsidR="005E53EC">
        <w:rPr>
          <w:bCs/>
          <w:szCs w:val="20"/>
        </w:rPr>
        <w:t xml:space="preserve">, de forma a permitir o uso de serviços REST. Com isso a solução de integração com o </w:t>
      </w:r>
      <w:proofErr w:type="spellStart"/>
      <w:r w:rsidR="005E53EC">
        <w:rPr>
          <w:bCs/>
          <w:szCs w:val="20"/>
        </w:rPr>
        <w:t>FPw</w:t>
      </w:r>
      <w:proofErr w:type="spellEnd"/>
      <w:r w:rsidR="005E53EC">
        <w:rPr>
          <w:bCs/>
          <w:szCs w:val="20"/>
        </w:rPr>
        <w:t xml:space="preserve">, será </w:t>
      </w:r>
      <w:proofErr w:type="gramStart"/>
      <w:r w:rsidR="005E53EC">
        <w:rPr>
          <w:bCs/>
          <w:szCs w:val="20"/>
        </w:rPr>
        <w:t>utilizando</w:t>
      </w:r>
      <w:proofErr w:type="gramEnd"/>
      <w:r w:rsidR="005E53EC">
        <w:rPr>
          <w:bCs/>
          <w:szCs w:val="20"/>
        </w:rPr>
        <w:t xml:space="preserve"> a Camada de Desacoplamento.</w:t>
      </w:r>
    </w:p>
    <w:sectPr w:rsidR="00550901" w:rsidRPr="00550901" w:rsidSect="00001216">
      <w:headerReference w:type="default" r:id="rId13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8559" w14:textId="77777777" w:rsidR="005200C7" w:rsidRDefault="005200C7" w:rsidP="00D13090">
      <w:pPr>
        <w:spacing w:before="0" w:after="0" w:line="240" w:lineRule="auto"/>
      </w:pPr>
      <w:r>
        <w:separator/>
      </w:r>
    </w:p>
  </w:endnote>
  <w:endnote w:type="continuationSeparator" w:id="0">
    <w:p w14:paraId="0B0D7DAA" w14:textId="77777777" w:rsidR="005200C7" w:rsidRDefault="005200C7" w:rsidP="00D130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0442" w14:textId="77777777" w:rsidR="005200C7" w:rsidRDefault="005200C7" w:rsidP="00D13090">
      <w:pPr>
        <w:spacing w:before="0" w:after="0" w:line="240" w:lineRule="auto"/>
      </w:pPr>
      <w:r>
        <w:separator/>
      </w:r>
    </w:p>
  </w:footnote>
  <w:footnote w:type="continuationSeparator" w:id="0">
    <w:p w14:paraId="284B0876" w14:textId="77777777" w:rsidR="005200C7" w:rsidRDefault="005200C7" w:rsidP="00D130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256"/>
      <w:gridCol w:w="6940"/>
    </w:tblGrid>
    <w:tr w:rsidR="00D13090" w14:paraId="35B8F81D" w14:textId="77777777" w:rsidTr="00D13090">
      <w:tc>
        <w:tcPr>
          <w:tcW w:w="3256" w:type="dxa"/>
        </w:tcPr>
        <w:p w14:paraId="42DD69F9" w14:textId="617DC5D7" w:rsidR="00D13090" w:rsidRPr="00D13090" w:rsidRDefault="00D13090">
          <w:pPr>
            <w:pStyle w:val="Cabealho"/>
            <w:rPr>
              <w:b/>
              <w:bCs/>
            </w:rPr>
          </w:pPr>
          <w:r w:rsidRPr="00D13090">
            <w:rPr>
              <w:b/>
              <w:bCs/>
              <w:sz w:val="24"/>
              <w:szCs w:val="24"/>
            </w:rPr>
            <w:t>Tecnologia Light</w:t>
          </w:r>
        </w:p>
        <w:p w14:paraId="311BAB6A" w14:textId="77777777" w:rsidR="00D13090" w:rsidRDefault="00D13090">
          <w:pPr>
            <w:pStyle w:val="Cabealho"/>
          </w:pPr>
        </w:p>
        <w:p w14:paraId="6720DC58" w14:textId="26889E51" w:rsidR="00D13090" w:rsidRDefault="00D13090">
          <w:pPr>
            <w:pStyle w:val="Cabealho"/>
          </w:pPr>
          <w:r w:rsidRPr="00D13090">
            <w:rPr>
              <w:szCs w:val="20"/>
            </w:rPr>
            <w:t>Gestão de Arquitetura Corporativa</w:t>
          </w:r>
        </w:p>
      </w:tc>
      <w:tc>
        <w:tcPr>
          <w:tcW w:w="6940" w:type="dxa"/>
          <w:vAlign w:val="center"/>
        </w:tcPr>
        <w:p w14:paraId="72B21ABF" w14:textId="18156225" w:rsidR="00D13090" w:rsidRPr="00D13090" w:rsidRDefault="008033C8" w:rsidP="00D13090">
          <w:pPr>
            <w:pStyle w:val="Cabealho"/>
            <w:spacing w:before="240" w:after="240"/>
            <w:jc w:val="center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Análise de Arquitetura de Soluções</w:t>
          </w:r>
        </w:p>
      </w:tc>
    </w:tr>
  </w:tbl>
  <w:p w14:paraId="5680A557" w14:textId="77777777" w:rsidR="00D13090" w:rsidRDefault="00D130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021"/>
    <w:multiLevelType w:val="hybridMultilevel"/>
    <w:tmpl w:val="0602D9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E41DB"/>
    <w:multiLevelType w:val="hybridMultilevel"/>
    <w:tmpl w:val="6E788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82B2B"/>
    <w:multiLevelType w:val="hybridMultilevel"/>
    <w:tmpl w:val="BAE45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47AA"/>
    <w:multiLevelType w:val="hybridMultilevel"/>
    <w:tmpl w:val="3654B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0BBB"/>
    <w:multiLevelType w:val="hybridMultilevel"/>
    <w:tmpl w:val="AFDE4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6838"/>
    <w:multiLevelType w:val="hybridMultilevel"/>
    <w:tmpl w:val="45A42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C0E64"/>
    <w:multiLevelType w:val="hybridMultilevel"/>
    <w:tmpl w:val="81C83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86EB9"/>
    <w:multiLevelType w:val="hybridMultilevel"/>
    <w:tmpl w:val="0CEC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1ADD"/>
    <w:multiLevelType w:val="hybridMultilevel"/>
    <w:tmpl w:val="9A122C7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E901D8F"/>
    <w:multiLevelType w:val="hybridMultilevel"/>
    <w:tmpl w:val="4560FF3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5001F02"/>
    <w:multiLevelType w:val="hybridMultilevel"/>
    <w:tmpl w:val="9E12B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12948"/>
    <w:multiLevelType w:val="hybridMultilevel"/>
    <w:tmpl w:val="DD104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3318F"/>
    <w:multiLevelType w:val="hybridMultilevel"/>
    <w:tmpl w:val="DCFC2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35BC"/>
    <w:multiLevelType w:val="hybridMultilevel"/>
    <w:tmpl w:val="456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98972">
    <w:abstractNumId w:val="10"/>
  </w:num>
  <w:num w:numId="2" w16cid:durableId="271279623">
    <w:abstractNumId w:val="8"/>
  </w:num>
  <w:num w:numId="3" w16cid:durableId="742794790">
    <w:abstractNumId w:val="9"/>
  </w:num>
  <w:num w:numId="4" w16cid:durableId="1316453563">
    <w:abstractNumId w:val="5"/>
  </w:num>
  <w:num w:numId="5" w16cid:durableId="170074808">
    <w:abstractNumId w:val="0"/>
  </w:num>
  <w:num w:numId="6" w16cid:durableId="1275015413">
    <w:abstractNumId w:val="12"/>
  </w:num>
  <w:num w:numId="7" w16cid:durableId="2022661685">
    <w:abstractNumId w:val="2"/>
  </w:num>
  <w:num w:numId="8" w16cid:durableId="49432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0378541">
    <w:abstractNumId w:val="6"/>
  </w:num>
  <w:num w:numId="10" w16cid:durableId="1084883140">
    <w:abstractNumId w:val="13"/>
  </w:num>
  <w:num w:numId="11" w16cid:durableId="249003209">
    <w:abstractNumId w:val="7"/>
  </w:num>
  <w:num w:numId="12" w16cid:durableId="1411151862">
    <w:abstractNumId w:val="1"/>
  </w:num>
  <w:num w:numId="13" w16cid:durableId="474880405">
    <w:abstractNumId w:val="11"/>
  </w:num>
  <w:num w:numId="14" w16cid:durableId="305282095">
    <w:abstractNumId w:val="4"/>
  </w:num>
  <w:num w:numId="15" w16cid:durableId="1790397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AA"/>
    <w:rsid w:val="00001216"/>
    <w:rsid w:val="00012E42"/>
    <w:rsid w:val="000134EF"/>
    <w:rsid w:val="00025EFB"/>
    <w:rsid w:val="00026063"/>
    <w:rsid w:val="00070011"/>
    <w:rsid w:val="00070893"/>
    <w:rsid w:val="00085A58"/>
    <w:rsid w:val="000A761E"/>
    <w:rsid w:val="000D4DB4"/>
    <w:rsid w:val="000F59FE"/>
    <w:rsid w:val="001179E7"/>
    <w:rsid w:val="00135825"/>
    <w:rsid w:val="00160493"/>
    <w:rsid w:val="0019121B"/>
    <w:rsid w:val="00196A03"/>
    <w:rsid w:val="001C7C87"/>
    <w:rsid w:val="002227DC"/>
    <w:rsid w:val="002355D8"/>
    <w:rsid w:val="002361BC"/>
    <w:rsid w:val="002379F8"/>
    <w:rsid w:val="00250A23"/>
    <w:rsid w:val="00267973"/>
    <w:rsid w:val="0027056C"/>
    <w:rsid w:val="00283457"/>
    <w:rsid w:val="00284251"/>
    <w:rsid w:val="002875C7"/>
    <w:rsid w:val="00297100"/>
    <w:rsid w:val="002A6575"/>
    <w:rsid w:val="002C4C33"/>
    <w:rsid w:val="002E6811"/>
    <w:rsid w:val="00336843"/>
    <w:rsid w:val="00364A62"/>
    <w:rsid w:val="003A306B"/>
    <w:rsid w:val="003C254C"/>
    <w:rsid w:val="003C3B9B"/>
    <w:rsid w:val="003E0018"/>
    <w:rsid w:val="003F676C"/>
    <w:rsid w:val="003F7516"/>
    <w:rsid w:val="00405752"/>
    <w:rsid w:val="0042343A"/>
    <w:rsid w:val="00464140"/>
    <w:rsid w:val="0046534D"/>
    <w:rsid w:val="004855B8"/>
    <w:rsid w:val="00495DB6"/>
    <w:rsid w:val="004B45F0"/>
    <w:rsid w:val="00505F65"/>
    <w:rsid w:val="0051340C"/>
    <w:rsid w:val="00515E0E"/>
    <w:rsid w:val="005200C7"/>
    <w:rsid w:val="00524141"/>
    <w:rsid w:val="00536494"/>
    <w:rsid w:val="00550901"/>
    <w:rsid w:val="0058386C"/>
    <w:rsid w:val="0059243D"/>
    <w:rsid w:val="00596B41"/>
    <w:rsid w:val="005E2932"/>
    <w:rsid w:val="005E53EC"/>
    <w:rsid w:val="005F1F1F"/>
    <w:rsid w:val="00616819"/>
    <w:rsid w:val="00624D71"/>
    <w:rsid w:val="00625415"/>
    <w:rsid w:val="00640483"/>
    <w:rsid w:val="006413BE"/>
    <w:rsid w:val="00662825"/>
    <w:rsid w:val="006A07EB"/>
    <w:rsid w:val="006A20F1"/>
    <w:rsid w:val="006A6EEB"/>
    <w:rsid w:val="006B412B"/>
    <w:rsid w:val="006F19B5"/>
    <w:rsid w:val="006F613C"/>
    <w:rsid w:val="00712FAA"/>
    <w:rsid w:val="0074046D"/>
    <w:rsid w:val="007448BD"/>
    <w:rsid w:val="0075347E"/>
    <w:rsid w:val="00762E32"/>
    <w:rsid w:val="00764E57"/>
    <w:rsid w:val="00766ABD"/>
    <w:rsid w:val="00770533"/>
    <w:rsid w:val="00771201"/>
    <w:rsid w:val="007C0F06"/>
    <w:rsid w:val="007C61F0"/>
    <w:rsid w:val="007E7A50"/>
    <w:rsid w:val="007F1F8A"/>
    <w:rsid w:val="00800A9D"/>
    <w:rsid w:val="008033C8"/>
    <w:rsid w:val="00873177"/>
    <w:rsid w:val="00885281"/>
    <w:rsid w:val="00895CE3"/>
    <w:rsid w:val="008B3C66"/>
    <w:rsid w:val="008C77EF"/>
    <w:rsid w:val="008F4EDB"/>
    <w:rsid w:val="009443E9"/>
    <w:rsid w:val="00956EC8"/>
    <w:rsid w:val="009714E6"/>
    <w:rsid w:val="00995C18"/>
    <w:rsid w:val="009A0314"/>
    <w:rsid w:val="009A4C0C"/>
    <w:rsid w:val="009A6190"/>
    <w:rsid w:val="009B7181"/>
    <w:rsid w:val="009C1EC7"/>
    <w:rsid w:val="009C59F3"/>
    <w:rsid w:val="009D1B02"/>
    <w:rsid w:val="00A2434C"/>
    <w:rsid w:val="00A26EE4"/>
    <w:rsid w:val="00A523A2"/>
    <w:rsid w:val="00A60D40"/>
    <w:rsid w:val="00A63C3F"/>
    <w:rsid w:val="00A646CE"/>
    <w:rsid w:val="00A71DEE"/>
    <w:rsid w:val="00A738BE"/>
    <w:rsid w:val="00A73A3A"/>
    <w:rsid w:val="00A87EB9"/>
    <w:rsid w:val="00AA2D20"/>
    <w:rsid w:val="00AC42E9"/>
    <w:rsid w:val="00AE3A0B"/>
    <w:rsid w:val="00B15F33"/>
    <w:rsid w:val="00B168B5"/>
    <w:rsid w:val="00B535EB"/>
    <w:rsid w:val="00B65AE0"/>
    <w:rsid w:val="00B72A0D"/>
    <w:rsid w:val="00B87754"/>
    <w:rsid w:val="00B91CC3"/>
    <w:rsid w:val="00BA3500"/>
    <w:rsid w:val="00BB0B14"/>
    <w:rsid w:val="00BD3CAA"/>
    <w:rsid w:val="00BF07CD"/>
    <w:rsid w:val="00BF6413"/>
    <w:rsid w:val="00C0267D"/>
    <w:rsid w:val="00C05F37"/>
    <w:rsid w:val="00C15949"/>
    <w:rsid w:val="00C179AD"/>
    <w:rsid w:val="00C21563"/>
    <w:rsid w:val="00C42BBA"/>
    <w:rsid w:val="00C507ED"/>
    <w:rsid w:val="00C60A92"/>
    <w:rsid w:val="00C93346"/>
    <w:rsid w:val="00CA4154"/>
    <w:rsid w:val="00CB2317"/>
    <w:rsid w:val="00CB2BAA"/>
    <w:rsid w:val="00CD2F10"/>
    <w:rsid w:val="00CE676E"/>
    <w:rsid w:val="00D13090"/>
    <w:rsid w:val="00DE221D"/>
    <w:rsid w:val="00DE542B"/>
    <w:rsid w:val="00E05E01"/>
    <w:rsid w:val="00E62D66"/>
    <w:rsid w:val="00E73B3E"/>
    <w:rsid w:val="00EA3DE5"/>
    <w:rsid w:val="00EB5AEB"/>
    <w:rsid w:val="00ED1AED"/>
    <w:rsid w:val="00F336CA"/>
    <w:rsid w:val="00F51BC9"/>
    <w:rsid w:val="00F53F69"/>
    <w:rsid w:val="00F9714D"/>
    <w:rsid w:val="00FA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BF3F"/>
  <w15:chartTrackingRefBased/>
  <w15:docId w15:val="{D92AF5DD-9937-43B9-93EB-40BD3291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03"/>
    <w:pPr>
      <w:spacing w:before="120" w:after="120" w:line="276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21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1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CAA"/>
    <w:pPr>
      <w:ind w:left="720"/>
      <w:contextualSpacing/>
    </w:pPr>
  </w:style>
  <w:style w:type="table" w:styleId="Tabelacomgrade">
    <w:name w:val="Table Grid"/>
    <w:basedOn w:val="Tabelanormal"/>
    <w:uiPriority w:val="39"/>
    <w:rsid w:val="00A6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21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1563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C21563"/>
    <w:pPr>
      <w:spacing w:before="100" w:after="100"/>
    </w:pPr>
    <w:rPr>
      <w:rFonts w:eastAsiaTheme="minorEastAsia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21563"/>
    <w:pPr>
      <w:spacing w:before="100" w:after="100"/>
      <w:ind w:left="400"/>
    </w:pPr>
    <w:rPr>
      <w:rFonts w:eastAsiaTheme="minorEastAsia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C21563"/>
    <w:pPr>
      <w:spacing w:before="100" w:after="100"/>
      <w:ind w:left="200"/>
    </w:pPr>
    <w:rPr>
      <w:rFonts w:eastAsiaTheme="minorEastAsia"/>
      <w:szCs w:val="20"/>
    </w:rPr>
  </w:style>
  <w:style w:type="character" w:styleId="Hyperlink">
    <w:name w:val="Hyperlink"/>
    <w:basedOn w:val="Fontepargpadro"/>
    <w:uiPriority w:val="99"/>
    <w:unhideWhenUsed/>
    <w:rsid w:val="00C2156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1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Style1">
    <w:name w:val="Style1"/>
    <w:basedOn w:val="Tabelanormal"/>
    <w:uiPriority w:val="99"/>
    <w:rsid w:val="00F97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 w:hint="default"/>
        <w:b/>
        <w:color w:val="FFFFFF" w:themeColor="background1"/>
        <w:sz w:val="24"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08080" w:themeFill="background1" w:themeFillShade="80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eladeGrade4-nfase1">
    <w:name w:val="Grid Table 4 Accent 1"/>
    <w:basedOn w:val="Tabelanormal"/>
    <w:uiPriority w:val="49"/>
    <w:rsid w:val="00F971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D13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3090"/>
  </w:style>
  <w:style w:type="paragraph" w:styleId="Rodap">
    <w:name w:val="footer"/>
    <w:basedOn w:val="Normal"/>
    <w:link w:val="RodapChar"/>
    <w:uiPriority w:val="99"/>
    <w:unhideWhenUsed/>
    <w:rsid w:val="00D13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3090"/>
  </w:style>
  <w:style w:type="table" w:styleId="TabeladeGrade4-nfase6">
    <w:name w:val="Grid Table 4 Accent 6"/>
    <w:basedOn w:val="Tabelanormal"/>
    <w:uiPriority w:val="49"/>
    <w:rsid w:val="00C507E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10636</TotalTime>
  <Pages>9</Pages>
  <Words>1380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Queiroz</dc:creator>
  <cp:keywords/>
  <dc:description/>
  <cp:lastModifiedBy>Vinicius Belo Queiroz</cp:lastModifiedBy>
  <cp:revision>49</cp:revision>
  <dcterms:created xsi:type="dcterms:W3CDTF">2021-07-29T20:09:00Z</dcterms:created>
  <dcterms:modified xsi:type="dcterms:W3CDTF">2022-11-04T13:35:00Z</dcterms:modified>
</cp:coreProperties>
</file>