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205C" w14:textId="453114BE" w:rsidR="00865D25" w:rsidRDefault="00216935" w:rsidP="00B77C35">
      <w:pPr>
        <w:pStyle w:val="Title"/>
      </w:pPr>
      <w:r>
        <w:t>Azure AD B2C lab</w:t>
      </w:r>
    </w:p>
    <w:p w14:paraId="06F594EB" w14:textId="2F97E706" w:rsidR="00B77C35" w:rsidRPr="00B77C35" w:rsidRDefault="00B77C35" w:rsidP="00B77C35">
      <w:r>
        <w:t>(Nov 7</w:t>
      </w:r>
      <w:r w:rsidRPr="00B77C35">
        <w:rPr>
          <w:vertAlign w:val="superscript"/>
        </w:rPr>
        <w:t>th</w:t>
      </w:r>
      <w:r>
        <w:t>, 2017 – M. Rochon)</w:t>
      </w:r>
    </w:p>
    <w:p w14:paraId="181B4F2D" w14:textId="77777777" w:rsidR="00216935" w:rsidRDefault="00216935" w:rsidP="00B77C35">
      <w:pPr>
        <w:pStyle w:val="Heading1"/>
      </w:pPr>
      <w:r>
        <w:t>Objective</w:t>
      </w:r>
    </w:p>
    <w:p w14:paraId="6AB93E72" w14:textId="19127CEA" w:rsidR="00216935" w:rsidRDefault="00216935">
      <w:r>
        <w:t xml:space="preserve">Create </w:t>
      </w:r>
      <w:r w:rsidR="00A259B4">
        <w:t xml:space="preserve">and explore </w:t>
      </w:r>
      <w:r>
        <w:t>your own Azure AD B2C tenant</w:t>
      </w:r>
    </w:p>
    <w:p w14:paraId="5F9D9818" w14:textId="77777777" w:rsidR="00216935" w:rsidRDefault="00216935" w:rsidP="00B77C35">
      <w:pPr>
        <w:pStyle w:val="Heading1"/>
      </w:pPr>
      <w:r>
        <w:t>Requirements</w:t>
      </w:r>
    </w:p>
    <w:p w14:paraId="3BE0B426" w14:textId="63323F8A" w:rsidR="00216935" w:rsidRDefault="00A259B4">
      <w:r>
        <w:t>Access to an</w:t>
      </w:r>
      <w:r w:rsidR="00216935">
        <w:t xml:space="preserve"> Azure subscription</w:t>
      </w:r>
    </w:p>
    <w:p w14:paraId="366BF111" w14:textId="1C3A0711" w:rsidR="00216935" w:rsidRDefault="00A259B4" w:rsidP="00B77C35">
      <w:pPr>
        <w:pStyle w:val="Heading1"/>
      </w:pPr>
      <w:r>
        <w:t>Create an Azure AD B2C tenant</w:t>
      </w:r>
    </w:p>
    <w:p w14:paraId="660BFC27" w14:textId="77777777" w:rsidR="00216935" w:rsidRDefault="00216935" w:rsidP="00216935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Pr="004630B6">
          <w:rPr>
            <w:rStyle w:val="Hyperlink"/>
          </w:rPr>
          <w:t>https://portal.azure.com</w:t>
        </w:r>
      </w:hyperlink>
    </w:p>
    <w:p w14:paraId="74D56258" w14:textId="77777777" w:rsidR="00216935" w:rsidRDefault="00216935" w:rsidP="00216935">
      <w:pPr>
        <w:pStyle w:val="ListParagraph"/>
        <w:numPr>
          <w:ilvl w:val="0"/>
          <w:numId w:val="1"/>
        </w:numPr>
      </w:pPr>
      <w:r>
        <w:t>Make sure that the top-right corner of the portal shows</w:t>
      </w:r>
      <w:r w:rsidR="00370A9F">
        <w:t xml:space="preserve"> the correct Azure AD tenant – the one that owns this subscription. For me it is ‘Microsoft’ as below:</w:t>
      </w:r>
    </w:p>
    <w:p w14:paraId="392AC5AD" w14:textId="77777777" w:rsidR="00370A9F" w:rsidRDefault="00370A9F" w:rsidP="00370A9F">
      <w:r>
        <w:rPr>
          <w:noProof/>
        </w:rPr>
        <w:drawing>
          <wp:inline distT="0" distB="0" distL="0" distR="0" wp14:anchorId="17B54477" wp14:editId="20105416">
            <wp:extent cx="31813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37E" w14:textId="77777777" w:rsidR="00216935" w:rsidRDefault="00216935" w:rsidP="00216935">
      <w:pPr>
        <w:pStyle w:val="ListParagraph"/>
        <w:numPr>
          <w:ilvl w:val="0"/>
          <w:numId w:val="1"/>
        </w:numPr>
      </w:pPr>
      <w:r>
        <w:t>Select ‘+ New’ in the resource menu (left-hand side) and enter ‘Azure Active Directory B2C’ in the search field:</w:t>
      </w:r>
    </w:p>
    <w:p w14:paraId="2A05D3DA" w14:textId="77777777" w:rsidR="00216935" w:rsidRDefault="00216935" w:rsidP="00216935">
      <w:r>
        <w:rPr>
          <w:noProof/>
        </w:rPr>
        <w:drawing>
          <wp:inline distT="0" distB="0" distL="0" distR="0" wp14:anchorId="2D769514" wp14:editId="3941E5E0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2C2F" w14:textId="77777777" w:rsidR="00216935" w:rsidRDefault="00216935" w:rsidP="00216935">
      <w:pPr>
        <w:pStyle w:val="ListParagraph"/>
        <w:numPr>
          <w:ilvl w:val="0"/>
          <w:numId w:val="1"/>
        </w:numPr>
      </w:pPr>
      <w:r>
        <w:t>Press Enter and select the only displayed option: Azure Active Directory B2C.</w:t>
      </w:r>
    </w:p>
    <w:p w14:paraId="74B4E6AE" w14:textId="77777777" w:rsidR="00216935" w:rsidRDefault="00216935" w:rsidP="00216935">
      <w:pPr>
        <w:pStyle w:val="ListParagraph"/>
        <w:numPr>
          <w:ilvl w:val="0"/>
          <w:numId w:val="1"/>
        </w:numPr>
      </w:pPr>
      <w:r>
        <w:t>Press Create button at the bottom of the screen.</w:t>
      </w:r>
      <w:r w:rsidR="00370A9F">
        <w:t xml:space="preserve"> You should see the following screen. Select ‘Create a new …’ (the other option is for legacy purposes, for those who had created a B2C tenant using the old, classic portal).</w:t>
      </w:r>
    </w:p>
    <w:p w14:paraId="5B0298B8" w14:textId="77777777" w:rsidR="00370A9F" w:rsidRDefault="00370A9F" w:rsidP="00370A9F">
      <w:r>
        <w:rPr>
          <w:noProof/>
        </w:rPr>
        <w:lastRenderedPageBreak/>
        <w:drawing>
          <wp:inline distT="0" distB="0" distL="0" distR="0" wp14:anchorId="301C9266" wp14:editId="53292C98">
            <wp:extent cx="3634740" cy="151114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660" cy="15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C043" w14:textId="77777777" w:rsidR="00216935" w:rsidRDefault="00370A9F" w:rsidP="00216935">
      <w:pPr>
        <w:pStyle w:val="ListParagraph"/>
        <w:numPr>
          <w:ilvl w:val="0"/>
          <w:numId w:val="1"/>
        </w:numPr>
      </w:pPr>
      <w:r>
        <w:t>Complete the tenant details as below. Make sure to use a globally unique name for your tenant domain prefix (the portal will verify that before it lets you do anything further). Press the Create button.</w:t>
      </w:r>
    </w:p>
    <w:p w14:paraId="44416FA7" w14:textId="77777777" w:rsidR="00370A9F" w:rsidRDefault="00370A9F" w:rsidP="00216935">
      <w:pPr>
        <w:pStyle w:val="ListParagraph"/>
        <w:numPr>
          <w:ilvl w:val="0"/>
          <w:numId w:val="1"/>
        </w:numPr>
      </w:pPr>
      <w:r>
        <w:t xml:space="preserve">Once it is created (a couple of minutes), switch your portal context to view that tenant by changing your account tenancy in the </w:t>
      </w:r>
      <w:proofErr w:type="gramStart"/>
      <w:r>
        <w:t>right hand</w:t>
      </w:r>
      <w:proofErr w:type="gramEnd"/>
      <w:r>
        <w:t xml:space="preserve"> corner (compare to similar view in #2 above). Here, B2C Prod is the descriptive name of my B2C tenant.</w:t>
      </w:r>
    </w:p>
    <w:p w14:paraId="1D65450B" w14:textId="77777777" w:rsidR="00370A9F" w:rsidRDefault="00370A9F" w:rsidP="00370A9F">
      <w:r>
        <w:rPr>
          <w:noProof/>
        </w:rPr>
        <w:drawing>
          <wp:inline distT="0" distB="0" distL="0" distR="0" wp14:anchorId="6DA09F61" wp14:editId="460F361D">
            <wp:extent cx="24098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75A3" w14:textId="77777777" w:rsidR="00370A9F" w:rsidRDefault="00370A9F" w:rsidP="00216935">
      <w:pPr>
        <w:pStyle w:val="ListParagraph"/>
        <w:numPr>
          <w:ilvl w:val="0"/>
          <w:numId w:val="1"/>
        </w:numPr>
      </w:pPr>
      <w:r>
        <w:t>Check whether your left-hand side navigation panel contains a link to the ‘Azure AD B2C’ blades.</w:t>
      </w:r>
    </w:p>
    <w:p w14:paraId="65ABC25B" w14:textId="77777777" w:rsidR="00370A9F" w:rsidRDefault="00370A9F" w:rsidP="00370A9F">
      <w:r>
        <w:rPr>
          <w:noProof/>
        </w:rPr>
        <w:drawing>
          <wp:inline distT="0" distB="0" distL="0" distR="0" wp14:anchorId="509BC356" wp14:editId="02A19B0E">
            <wp:extent cx="1720250" cy="294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644" cy="29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1C97" w14:textId="77777777" w:rsidR="00370A9F" w:rsidRDefault="00370A9F" w:rsidP="00216935">
      <w:pPr>
        <w:pStyle w:val="ListParagraph"/>
        <w:numPr>
          <w:ilvl w:val="0"/>
          <w:numId w:val="1"/>
        </w:numPr>
      </w:pPr>
      <w:r>
        <w:t>If it does not (it may be at a different vertical location), in the navigation menu of the portal (left-hand side) select ‘More services &gt;’ and enter B2C in the search field. Select the ‘Azure AD 2C’ option.</w:t>
      </w:r>
      <w:r w:rsidR="006C0EE9">
        <w:t xml:space="preserve"> The B2C should now show in the navigation menu. You can use mouse-drag function to reposition it in the vertical list.</w:t>
      </w:r>
    </w:p>
    <w:p w14:paraId="47F1862D" w14:textId="2A31288E" w:rsidR="00216935" w:rsidRDefault="006C0EE9" w:rsidP="00216935">
      <w:pPr>
        <w:pStyle w:val="ListParagraph"/>
        <w:numPr>
          <w:ilvl w:val="0"/>
          <w:numId w:val="1"/>
        </w:numPr>
      </w:pPr>
      <w:r>
        <w:t>Select the Azure AD B2C to navigate to the B2C blade. Explore its functionality! Enjoy!</w:t>
      </w:r>
    </w:p>
    <w:p w14:paraId="3AED8862" w14:textId="32B4C21E" w:rsidR="00A36DCC" w:rsidRDefault="00A36DCC" w:rsidP="00216935">
      <w:pPr>
        <w:pStyle w:val="ListParagraph"/>
        <w:numPr>
          <w:ilvl w:val="0"/>
          <w:numId w:val="1"/>
        </w:numPr>
      </w:pPr>
      <w:r>
        <w:lastRenderedPageBreak/>
        <w:t>Remember to add a local user (</w:t>
      </w:r>
      <w:hyperlink r:id="rId13" w:history="1">
        <w:r w:rsidRPr="00DF1181">
          <w:rPr>
            <w:rStyle w:val="Hyperlink"/>
          </w:rPr>
          <w:t>user@mytenant.onmicrosoft.com</w:t>
        </w:r>
      </w:hyperlink>
      <w:r>
        <w:t>) with Global Admin privileges to access the tenant from Grap</w:t>
      </w:r>
      <w:bookmarkStart w:id="0" w:name="_GoBack"/>
      <w:bookmarkEnd w:id="0"/>
      <w:r>
        <w:t>h Explorer.</w:t>
      </w:r>
    </w:p>
    <w:p w14:paraId="2639E56C" w14:textId="56B1C255" w:rsidR="000E77C1" w:rsidRDefault="008A173E" w:rsidP="008A173E">
      <w:pPr>
        <w:pStyle w:val="Heading1"/>
      </w:pPr>
      <w:r>
        <w:t xml:space="preserve">Configure </w:t>
      </w:r>
      <w:proofErr w:type="spellStart"/>
      <w:r>
        <w:t>IdPs</w:t>
      </w:r>
      <w:proofErr w:type="spellEnd"/>
      <w:r>
        <w:t xml:space="preserve"> – authentication providers</w:t>
      </w:r>
    </w:p>
    <w:p w14:paraId="7C7914E9" w14:textId="053E8F6C" w:rsidR="008A173E" w:rsidRDefault="00BD2B02" w:rsidP="009357B7">
      <w:pPr>
        <w:pStyle w:val="ListParagraph"/>
        <w:numPr>
          <w:ilvl w:val="0"/>
          <w:numId w:val="2"/>
        </w:numPr>
      </w:pPr>
      <w:r>
        <w:t xml:space="preserve">Select the </w:t>
      </w:r>
      <w:r w:rsidR="000472CE">
        <w:t>Identity Providers option from the B2C portal blade:</w:t>
      </w:r>
    </w:p>
    <w:p w14:paraId="4C10DABB" w14:textId="0D5BEEA2" w:rsidR="000472CE" w:rsidRDefault="000472CE" w:rsidP="000472CE">
      <w:r>
        <w:rPr>
          <w:noProof/>
        </w:rPr>
        <w:drawing>
          <wp:inline distT="0" distB="0" distL="0" distR="0" wp14:anchorId="00DC879A" wp14:editId="077ACECB">
            <wp:extent cx="2424113" cy="31124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146" cy="31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8C3" w14:textId="66144C21" w:rsidR="000472CE" w:rsidRDefault="006B26FD" w:rsidP="006B26FD">
      <w:pPr>
        <w:pStyle w:val="ListParagraph"/>
        <w:numPr>
          <w:ilvl w:val="0"/>
          <w:numId w:val="2"/>
        </w:numPr>
      </w:pPr>
      <w:r>
        <w:t xml:space="preserve">Select the type of local account you want to allow (email or </w:t>
      </w:r>
      <w:r w:rsidR="00B37B15">
        <w:t>username). You can control through the signup/in policies whether a user will in fact be able to use local accounts</w:t>
      </w:r>
      <w:r w:rsidR="00B16168">
        <w:t xml:space="preserve"> or only social accounts.</w:t>
      </w:r>
    </w:p>
    <w:p w14:paraId="33B97EC2" w14:textId="7CBD1059" w:rsidR="00B16168" w:rsidRDefault="00B16168" w:rsidP="001A1000">
      <w:pPr>
        <w:pStyle w:val="ListParagraph"/>
        <w:numPr>
          <w:ilvl w:val="0"/>
          <w:numId w:val="2"/>
        </w:numPr>
      </w:pPr>
      <w:r>
        <w:t xml:space="preserve">Follow instructions on </w:t>
      </w:r>
      <w:hyperlink r:id="rId15" w:history="1">
        <w:r w:rsidR="001A1000" w:rsidRPr="00AF7AD4">
          <w:rPr>
            <w:rStyle w:val="Hyperlink"/>
          </w:rPr>
          <w:t>https://docs.microsoft.com/en-us/azure/active-directory-b2c/active-directory-b2c-setup-msa-app</w:t>
        </w:r>
      </w:hyperlink>
      <w:r w:rsidR="001A1000">
        <w:t xml:space="preserve"> to allow users to use their MSA accounts (or use one of the other social account types</w:t>
      </w:r>
      <w:r w:rsidR="004355E5">
        <w:t>).</w:t>
      </w:r>
    </w:p>
    <w:p w14:paraId="7C2917D8" w14:textId="7354C9BD" w:rsidR="004355E5" w:rsidRDefault="001A7C1A" w:rsidP="001A7C1A">
      <w:pPr>
        <w:pStyle w:val="Heading1"/>
      </w:pPr>
      <w:r>
        <w:t>User attributes</w:t>
      </w:r>
    </w:p>
    <w:p w14:paraId="16CC3AF1" w14:textId="0F9607DE" w:rsidR="001A7C1A" w:rsidRDefault="001A7C1A" w:rsidP="001A7C1A">
      <w:pPr>
        <w:pStyle w:val="ListParagraph"/>
        <w:numPr>
          <w:ilvl w:val="0"/>
          <w:numId w:val="3"/>
        </w:numPr>
      </w:pPr>
      <w:r>
        <w:t>Select the User Attributes option from the B2C portal blade.</w:t>
      </w:r>
    </w:p>
    <w:p w14:paraId="09B87DF5" w14:textId="07CBB43B" w:rsidR="001A7C1A" w:rsidRDefault="00D07E0C" w:rsidP="001A7C1A">
      <w:pPr>
        <w:pStyle w:val="ListParagraph"/>
        <w:numPr>
          <w:ilvl w:val="0"/>
          <w:numId w:val="3"/>
        </w:numPr>
      </w:pPr>
      <w:r>
        <w:t xml:space="preserve">Review existing built-in attributes and add any new attributes you may want to </w:t>
      </w:r>
      <w:r w:rsidR="002B3943">
        <w:t xml:space="preserve">use for your users. </w:t>
      </w:r>
      <w:r w:rsidR="00413928">
        <w:t xml:space="preserve">For example, you may want to add a </w:t>
      </w:r>
      <w:proofErr w:type="spellStart"/>
      <w:r w:rsidR="00413928">
        <w:t>LoyaltyId</w:t>
      </w:r>
      <w:proofErr w:type="spellEnd"/>
      <w:r w:rsidR="00413928">
        <w:t xml:space="preserve"> attribute. </w:t>
      </w:r>
      <w:r w:rsidR="002B3943">
        <w:t xml:space="preserve">Note that the selection of which attributes a user is asked to supply and which are passed in a token is configured </w:t>
      </w:r>
      <w:proofErr w:type="gramStart"/>
      <w:r w:rsidR="002B3943">
        <w:t>later on</w:t>
      </w:r>
      <w:proofErr w:type="gramEnd"/>
      <w:r w:rsidR="002B3943">
        <w:t xml:space="preserve"> as part of policy definition.</w:t>
      </w:r>
    </w:p>
    <w:p w14:paraId="2CCDDDAD" w14:textId="285D6E28" w:rsidR="0011405E" w:rsidRDefault="0011405E" w:rsidP="003C63CD">
      <w:pPr>
        <w:pStyle w:val="Heading1"/>
      </w:pPr>
      <w:r>
        <w:t>Test application</w:t>
      </w:r>
    </w:p>
    <w:p w14:paraId="2357B532" w14:textId="7F9FD991" w:rsidR="0011405E" w:rsidRDefault="0011405E" w:rsidP="0011405E">
      <w:pPr>
        <w:pStyle w:val="ListParagraph"/>
        <w:numPr>
          <w:ilvl w:val="0"/>
          <w:numId w:val="5"/>
        </w:numPr>
      </w:pPr>
      <w:r>
        <w:t xml:space="preserve">Select the Applications </w:t>
      </w:r>
      <w:r w:rsidR="00CF32AB">
        <w:t xml:space="preserve">option from the B2C portal blade. </w:t>
      </w:r>
    </w:p>
    <w:p w14:paraId="326A8E88" w14:textId="7847C5CF" w:rsidR="00CF32AB" w:rsidRDefault="00CF32AB" w:rsidP="0011405E">
      <w:pPr>
        <w:pStyle w:val="ListParagraph"/>
        <w:numPr>
          <w:ilvl w:val="0"/>
          <w:numId w:val="5"/>
        </w:numPr>
      </w:pPr>
      <w:r>
        <w:t xml:space="preserve">Click on the Add button to register a new application. </w:t>
      </w:r>
      <w:proofErr w:type="gramStart"/>
      <w:r>
        <w:t>For the purpose of</w:t>
      </w:r>
      <w:proofErr w:type="gramEnd"/>
      <w:r>
        <w:t xml:space="preserve"> this exercise we will register a non-existent application</w:t>
      </w:r>
      <w:r w:rsidR="005F7573">
        <w:t>, which will still allow us to do some basic testing of our policies.</w:t>
      </w:r>
    </w:p>
    <w:p w14:paraId="747C8F6E" w14:textId="25F550A6" w:rsidR="005F7573" w:rsidRDefault="005F7573" w:rsidP="0011405E">
      <w:pPr>
        <w:pStyle w:val="ListParagraph"/>
        <w:numPr>
          <w:ilvl w:val="0"/>
          <w:numId w:val="5"/>
        </w:numPr>
      </w:pPr>
      <w:r>
        <w:lastRenderedPageBreak/>
        <w:t xml:space="preserve">Give the application a name, e.g. </w:t>
      </w:r>
      <w:proofErr w:type="spellStart"/>
      <w:r>
        <w:t>TestApp</w:t>
      </w:r>
      <w:proofErr w:type="spellEnd"/>
      <w:r w:rsidR="0089010E">
        <w:t xml:space="preserve"> and select other options as shown below. The reply </w:t>
      </w:r>
      <w:proofErr w:type="spellStart"/>
      <w:r w:rsidR="0089010E">
        <w:t>url</w:t>
      </w:r>
      <w:proofErr w:type="spellEnd"/>
      <w:r w:rsidR="0089010E">
        <w:t xml:space="preserve"> value </w:t>
      </w:r>
      <w:r w:rsidR="003C63CD">
        <w:t xml:space="preserve">does not need to resolve to a valid IP address (here it is </w:t>
      </w:r>
      <w:hyperlink r:id="rId16" w:history="1">
        <w:r w:rsidR="003C63CD" w:rsidRPr="00AF7AD4">
          <w:rPr>
            <w:rStyle w:val="Hyperlink"/>
          </w:rPr>
          <w:t>https://dummy.com</w:t>
        </w:r>
      </w:hyperlink>
      <w:r w:rsidR="003C63CD">
        <w:t>)</w:t>
      </w:r>
    </w:p>
    <w:p w14:paraId="6F29ABB5" w14:textId="68F6E002" w:rsidR="003C63CD" w:rsidRDefault="003C63CD" w:rsidP="003C63CD">
      <w:pPr>
        <w:ind w:left="360"/>
      </w:pPr>
      <w:r>
        <w:rPr>
          <w:noProof/>
        </w:rPr>
        <w:drawing>
          <wp:inline distT="0" distB="0" distL="0" distR="0" wp14:anchorId="61FC8F68" wp14:editId="1C9C879A">
            <wp:extent cx="3215855" cy="3786188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943" cy="37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547C" w14:textId="6A31E576" w:rsidR="005F7573" w:rsidRDefault="003C63CD" w:rsidP="0011405E">
      <w:pPr>
        <w:pStyle w:val="ListParagraph"/>
        <w:numPr>
          <w:ilvl w:val="0"/>
          <w:numId w:val="5"/>
        </w:numPr>
      </w:pPr>
      <w:r>
        <w:t>Click Create to register the application.</w:t>
      </w:r>
    </w:p>
    <w:p w14:paraId="795DDA07" w14:textId="15D180A7" w:rsidR="007B0A4F" w:rsidRDefault="007B0A4F" w:rsidP="0011405E">
      <w:pPr>
        <w:pStyle w:val="Heading1"/>
      </w:pPr>
      <w:r>
        <w:t>Signup/in policy</w:t>
      </w:r>
    </w:p>
    <w:p w14:paraId="21414C0E" w14:textId="10E71503" w:rsidR="007B0A4F" w:rsidRDefault="007B0A4F" w:rsidP="007B0A4F">
      <w:pPr>
        <w:pStyle w:val="ListParagraph"/>
        <w:numPr>
          <w:ilvl w:val="0"/>
          <w:numId w:val="4"/>
        </w:numPr>
      </w:pPr>
      <w:r>
        <w:t>Select the Sign-up or sign-in policies option from the B2C portal blade.</w:t>
      </w:r>
    </w:p>
    <w:p w14:paraId="0C1DCEB0" w14:textId="15CD818E" w:rsidR="007B0A4F" w:rsidRDefault="00545CCC" w:rsidP="007B0A4F">
      <w:pPr>
        <w:pStyle w:val="ListParagraph"/>
        <w:numPr>
          <w:ilvl w:val="0"/>
          <w:numId w:val="4"/>
        </w:numPr>
      </w:pPr>
      <w:r>
        <w:t>Use the Add button to create a new policy</w:t>
      </w:r>
      <w:r w:rsidR="004C2403">
        <w:t>. Individual application will reference specific policies to get B2C to support specific user functionality, in this case signing in or (for new users) signing up to B2C.</w:t>
      </w:r>
    </w:p>
    <w:p w14:paraId="07EFEF25" w14:textId="11993717" w:rsidR="004C2403" w:rsidRDefault="00BD177C" w:rsidP="00121FC2">
      <w:pPr>
        <w:pStyle w:val="ListParagraph"/>
        <w:numPr>
          <w:ilvl w:val="1"/>
          <w:numId w:val="4"/>
        </w:numPr>
      </w:pPr>
      <w:r>
        <w:t>Give your policy a name, e.g. ‘</w:t>
      </w:r>
      <w:proofErr w:type="spellStart"/>
      <w:r>
        <w:t>Sign</w:t>
      </w:r>
      <w:r w:rsidR="00413928">
        <w:t>InUp</w:t>
      </w:r>
      <w:proofErr w:type="spellEnd"/>
      <w:r w:rsidR="00287F5A">
        <w:t>’ (B2C_1_ prefix will be added by B2C later).</w:t>
      </w:r>
    </w:p>
    <w:p w14:paraId="3DE31717" w14:textId="3B30E2EA" w:rsidR="00121FC2" w:rsidRDefault="00121FC2" w:rsidP="00121FC2">
      <w:pPr>
        <w:pStyle w:val="ListParagraph"/>
        <w:numPr>
          <w:ilvl w:val="1"/>
          <w:numId w:val="4"/>
        </w:numPr>
      </w:pPr>
      <w:r>
        <w:t>Select identity providers you want to allow in this policy, e.g. both local and MSA (or other) social.</w:t>
      </w:r>
    </w:p>
    <w:p w14:paraId="5D7E110F" w14:textId="7C0ABFC8" w:rsidR="00A25D94" w:rsidRDefault="00A25D94" w:rsidP="00121FC2">
      <w:pPr>
        <w:pStyle w:val="ListParagraph"/>
        <w:numPr>
          <w:ilvl w:val="1"/>
          <w:numId w:val="4"/>
        </w:numPr>
      </w:pPr>
      <w:r>
        <w:t>Select any sign-up attributes that a new user signing up for the</w:t>
      </w:r>
      <w:r w:rsidR="00002ACA">
        <w:t xml:space="preserve"> service will need to provide as part of the sign-up process.</w:t>
      </w:r>
    </w:p>
    <w:p w14:paraId="436C4442" w14:textId="790B9C59" w:rsidR="00002ACA" w:rsidRDefault="00002ACA" w:rsidP="00121FC2">
      <w:pPr>
        <w:pStyle w:val="ListParagraph"/>
        <w:numPr>
          <w:ilvl w:val="1"/>
          <w:numId w:val="4"/>
        </w:numPr>
      </w:pPr>
      <w:r>
        <w:t xml:space="preserve">Select attributes you </w:t>
      </w:r>
      <w:r w:rsidR="004743F5">
        <w:t xml:space="preserve">want the policy to include in the </w:t>
      </w:r>
      <w:proofErr w:type="spellStart"/>
      <w:r w:rsidR="004743F5">
        <w:t>id_token</w:t>
      </w:r>
      <w:proofErr w:type="spellEnd"/>
      <w:r w:rsidR="004743F5">
        <w:t xml:space="preserve"> sent to the application using this policy. </w:t>
      </w:r>
      <w:r w:rsidR="00C11242">
        <w:t>Make sure to include the ‘User is new’ claim to</w:t>
      </w:r>
      <w:r w:rsidR="00FB1289">
        <w:t xml:space="preserve"> allow the application to do any further processing of new users. You may also include other attributes</w:t>
      </w:r>
      <w:r w:rsidR="007E2032">
        <w:t xml:space="preserve"> you selected in as sign-up attributes. These attributes will be stored in B2C and are available through Graph API</w:t>
      </w:r>
      <w:r w:rsidR="00675156">
        <w:t xml:space="preserve"> or to the other policies you may define later.</w:t>
      </w:r>
    </w:p>
    <w:p w14:paraId="4D79E84F" w14:textId="5286A62A" w:rsidR="00675156" w:rsidRDefault="00675156" w:rsidP="00121FC2">
      <w:pPr>
        <w:pStyle w:val="ListParagraph"/>
        <w:numPr>
          <w:ilvl w:val="1"/>
          <w:numId w:val="4"/>
        </w:numPr>
      </w:pPr>
      <w:r>
        <w:t>Do not choose MFA or UI customization for now.</w:t>
      </w:r>
    </w:p>
    <w:p w14:paraId="12A170DA" w14:textId="17DE4941" w:rsidR="00675156" w:rsidRDefault="00675156" w:rsidP="00121FC2">
      <w:pPr>
        <w:pStyle w:val="ListParagraph"/>
        <w:numPr>
          <w:ilvl w:val="1"/>
          <w:numId w:val="4"/>
        </w:numPr>
      </w:pPr>
      <w:r>
        <w:t>Save the policy.</w:t>
      </w:r>
    </w:p>
    <w:p w14:paraId="45ACFEA1" w14:textId="1784E636" w:rsidR="00675156" w:rsidRDefault="00FB0BC2" w:rsidP="00675156">
      <w:pPr>
        <w:pStyle w:val="ListParagraph"/>
        <w:numPr>
          <w:ilvl w:val="0"/>
          <w:numId w:val="4"/>
        </w:numPr>
      </w:pPr>
      <w:r>
        <w:t>Select the policy you just defined</w:t>
      </w:r>
      <w:r w:rsidR="00AC4568">
        <w:t>. You should see the following UI.</w:t>
      </w:r>
    </w:p>
    <w:p w14:paraId="52D91950" w14:textId="7B8405E5" w:rsidR="00C10599" w:rsidRDefault="00C10599" w:rsidP="00AC4568">
      <w:pPr>
        <w:pStyle w:val="ListParagraph"/>
      </w:pPr>
    </w:p>
    <w:p w14:paraId="12E32252" w14:textId="6B0B0E74" w:rsidR="00C10599" w:rsidRDefault="00AF022A" w:rsidP="00AC4568">
      <w:pPr>
        <w:pStyle w:val="ListParagraph"/>
      </w:pPr>
      <w:r>
        <w:rPr>
          <w:noProof/>
        </w:rPr>
        <w:drawing>
          <wp:inline distT="0" distB="0" distL="0" distR="0" wp14:anchorId="1112AC0F" wp14:editId="5BEE965B">
            <wp:extent cx="4399995" cy="4357687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979" cy="43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597A" w14:textId="2B409695" w:rsidR="00AF022A" w:rsidRDefault="003C63CD" w:rsidP="00AF022A">
      <w:pPr>
        <w:pStyle w:val="ListParagraph"/>
        <w:numPr>
          <w:ilvl w:val="0"/>
          <w:numId w:val="4"/>
        </w:numPr>
      </w:pPr>
      <w:r>
        <w:t xml:space="preserve">‘Run </w:t>
      </w:r>
      <w:r w:rsidR="003B5A0E">
        <w:t xml:space="preserve">now endpoint’ is the </w:t>
      </w:r>
      <w:proofErr w:type="spellStart"/>
      <w:r w:rsidR="003B5A0E">
        <w:t>url</w:t>
      </w:r>
      <w:proofErr w:type="spellEnd"/>
      <w:r w:rsidR="003B5A0E">
        <w:t xml:space="preserve"> an application will need to redirect the user to (as part of the OIDC Auth Code flow</w:t>
      </w:r>
      <w:r w:rsidR="00520CAB">
        <w:t xml:space="preserve">. OWIN or other toolkits will usually take care of formatting the string </w:t>
      </w:r>
      <w:r w:rsidR="00D63C92">
        <w:t xml:space="preserve">in your </w:t>
      </w:r>
      <w:proofErr w:type="gramStart"/>
      <w:r w:rsidR="00D63C92">
        <w:t>application</w:t>
      </w:r>
      <w:proofErr w:type="gramEnd"/>
      <w:r w:rsidR="00D63C92">
        <w:t xml:space="preserve"> but you may want to inspect it here anyway).</w:t>
      </w:r>
    </w:p>
    <w:p w14:paraId="67DD9F27" w14:textId="6BDD89C3" w:rsidR="00D63C92" w:rsidRDefault="00D63C92" w:rsidP="00AF022A">
      <w:pPr>
        <w:pStyle w:val="ListParagraph"/>
        <w:numPr>
          <w:ilvl w:val="0"/>
          <w:numId w:val="4"/>
        </w:numPr>
      </w:pPr>
      <w:r>
        <w:t xml:space="preserve">Click on the ‘Run now’ button. This will simulate </w:t>
      </w:r>
      <w:r w:rsidR="00505246">
        <w:t xml:space="preserve">browser being redirected from your application to B2C to execute the </w:t>
      </w:r>
      <w:proofErr w:type="spellStart"/>
      <w:r w:rsidR="00505246">
        <w:t>signin</w:t>
      </w:r>
      <w:proofErr w:type="spellEnd"/>
      <w:r w:rsidR="00505246">
        <w:t xml:space="preserve">/up policy (whose value is the p-parameter in the above </w:t>
      </w:r>
      <w:proofErr w:type="spellStart"/>
      <w:r w:rsidR="00505246">
        <w:t>url</w:t>
      </w:r>
      <w:proofErr w:type="spellEnd"/>
      <w:r w:rsidR="00505246">
        <w:t>).</w:t>
      </w:r>
    </w:p>
    <w:p w14:paraId="2CFAFE45" w14:textId="0A6354D0" w:rsidR="00FA583D" w:rsidRDefault="00FA583D" w:rsidP="00AF022A">
      <w:pPr>
        <w:pStyle w:val="ListParagraph"/>
        <w:numPr>
          <w:ilvl w:val="0"/>
          <w:numId w:val="4"/>
        </w:numPr>
      </w:pPr>
      <w:r>
        <w:t>Use the page to signup as either a local or social user.</w:t>
      </w:r>
    </w:p>
    <w:p w14:paraId="1FB966B6" w14:textId="45FFF837" w:rsidR="00FA583D" w:rsidRDefault="00FA583D" w:rsidP="00AF022A">
      <w:pPr>
        <w:pStyle w:val="ListParagraph"/>
        <w:numPr>
          <w:ilvl w:val="0"/>
          <w:numId w:val="4"/>
        </w:numPr>
      </w:pPr>
      <w:r>
        <w:t>Once you have signed up B2C will attempt to redirect the browser back to the application. Since it does not exist</w:t>
      </w:r>
      <w:r w:rsidR="00A810D0">
        <w:t xml:space="preserve">, browser will show an error page. </w:t>
      </w:r>
      <w:proofErr w:type="gramStart"/>
      <w:r w:rsidR="00A810D0">
        <w:t>However</w:t>
      </w:r>
      <w:proofErr w:type="gramEnd"/>
      <w:r w:rsidR="00A810D0">
        <w:t xml:space="preserve"> the </w:t>
      </w:r>
      <w:proofErr w:type="spellStart"/>
      <w:r w:rsidR="00A810D0">
        <w:t>url</w:t>
      </w:r>
      <w:proofErr w:type="spellEnd"/>
      <w:r w:rsidR="00A810D0">
        <w:t xml:space="preserve"> string will contain the </w:t>
      </w:r>
      <w:proofErr w:type="spellStart"/>
      <w:r w:rsidR="00A810D0">
        <w:t>id_token</w:t>
      </w:r>
      <w:proofErr w:type="spellEnd"/>
      <w:r w:rsidR="00A810D0">
        <w:t xml:space="preserve"> created by B2C</w:t>
      </w:r>
      <w:r w:rsidR="002D2BB9">
        <w:t xml:space="preserve"> (see below). Copy the value of the token to clipboard and use </w:t>
      </w:r>
      <w:hyperlink r:id="rId19" w:history="1">
        <w:r w:rsidR="002D2BB9" w:rsidRPr="00AF7AD4">
          <w:rPr>
            <w:rStyle w:val="Hyperlink"/>
          </w:rPr>
          <w:t>https://jwt.ms</w:t>
        </w:r>
      </w:hyperlink>
      <w:r w:rsidR="002D2BB9">
        <w:t xml:space="preserve"> to inspect the claims it contains. Does it have the claims/attributes you have configured in the policy?</w:t>
      </w:r>
    </w:p>
    <w:p w14:paraId="2026F10A" w14:textId="72EE8138" w:rsidR="002D2BB9" w:rsidRDefault="002D2BB9" w:rsidP="002D2BB9">
      <w:r>
        <w:rPr>
          <w:noProof/>
        </w:rPr>
        <w:lastRenderedPageBreak/>
        <w:drawing>
          <wp:inline distT="0" distB="0" distL="0" distR="0" wp14:anchorId="42E039AE" wp14:editId="59E970A8">
            <wp:extent cx="5943600" cy="2153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BB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4A9D9" w14:textId="77777777" w:rsidR="00216935" w:rsidRDefault="00216935" w:rsidP="00216935">
      <w:pPr>
        <w:spacing w:after="0" w:line="240" w:lineRule="auto"/>
      </w:pPr>
      <w:r>
        <w:separator/>
      </w:r>
    </w:p>
  </w:endnote>
  <w:endnote w:type="continuationSeparator" w:id="0">
    <w:p w14:paraId="2ED70BCC" w14:textId="77777777" w:rsidR="00216935" w:rsidRDefault="00216935" w:rsidP="0021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22399" w14:textId="77777777" w:rsidR="00216935" w:rsidRDefault="00216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1BFB9" w14:textId="77777777" w:rsidR="00216935" w:rsidRDefault="0021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57FA5" w14:textId="77777777" w:rsidR="00216935" w:rsidRDefault="0021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2F18F" w14:textId="77777777" w:rsidR="00216935" w:rsidRDefault="00216935" w:rsidP="00216935">
      <w:pPr>
        <w:spacing w:after="0" w:line="240" w:lineRule="auto"/>
      </w:pPr>
      <w:r>
        <w:separator/>
      </w:r>
    </w:p>
  </w:footnote>
  <w:footnote w:type="continuationSeparator" w:id="0">
    <w:p w14:paraId="28514CD5" w14:textId="77777777" w:rsidR="00216935" w:rsidRDefault="00216935" w:rsidP="00216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AF69" w14:textId="77777777" w:rsidR="00216935" w:rsidRDefault="00216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3DEFA" w14:textId="77777777" w:rsidR="00216935" w:rsidRDefault="00216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70125" w14:textId="77777777" w:rsidR="00216935" w:rsidRDefault="00216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0408"/>
    <w:multiLevelType w:val="hybridMultilevel"/>
    <w:tmpl w:val="F00E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9A3"/>
    <w:multiLevelType w:val="hybridMultilevel"/>
    <w:tmpl w:val="282A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217"/>
    <w:multiLevelType w:val="hybridMultilevel"/>
    <w:tmpl w:val="1882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D5DE3"/>
    <w:multiLevelType w:val="hybridMultilevel"/>
    <w:tmpl w:val="642A0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35C35"/>
    <w:multiLevelType w:val="hybridMultilevel"/>
    <w:tmpl w:val="7F288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35"/>
    <w:rsid w:val="00002ACA"/>
    <w:rsid w:val="000472CE"/>
    <w:rsid w:val="000E77C1"/>
    <w:rsid w:val="0011405E"/>
    <w:rsid w:val="00121FC2"/>
    <w:rsid w:val="001A1000"/>
    <w:rsid w:val="001A7C1A"/>
    <w:rsid w:val="00216935"/>
    <w:rsid w:val="00287F5A"/>
    <w:rsid w:val="002B3943"/>
    <w:rsid w:val="002D2BB9"/>
    <w:rsid w:val="00370A9F"/>
    <w:rsid w:val="003B5A0E"/>
    <w:rsid w:val="003C63CD"/>
    <w:rsid w:val="00413928"/>
    <w:rsid w:val="004355E5"/>
    <w:rsid w:val="004743F5"/>
    <w:rsid w:val="004C2403"/>
    <w:rsid w:val="00505246"/>
    <w:rsid w:val="00520CAB"/>
    <w:rsid w:val="00545CCC"/>
    <w:rsid w:val="005F7573"/>
    <w:rsid w:val="00675156"/>
    <w:rsid w:val="006B26FD"/>
    <w:rsid w:val="006C0EE9"/>
    <w:rsid w:val="00756829"/>
    <w:rsid w:val="007B0A4F"/>
    <w:rsid w:val="007E2032"/>
    <w:rsid w:val="0089010E"/>
    <w:rsid w:val="008A173E"/>
    <w:rsid w:val="009357B7"/>
    <w:rsid w:val="00975579"/>
    <w:rsid w:val="009D1EE0"/>
    <w:rsid w:val="00A259B4"/>
    <w:rsid w:val="00A25D94"/>
    <w:rsid w:val="00A36DCC"/>
    <w:rsid w:val="00A810D0"/>
    <w:rsid w:val="00AC4568"/>
    <w:rsid w:val="00AF022A"/>
    <w:rsid w:val="00B16168"/>
    <w:rsid w:val="00B37B15"/>
    <w:rsid w:val="00B77C35"/>
    <w:rsid w:val="00BD177C"/>
    <w:rsid w:val="00BD2B02"/>
    <w:rsid w:val="00C10599"/>
    <w:rsid w:val="00C11242"/>
    <w:rsid w:val="00CF32AB"/>
    <w:rsid w:val="00D07E0C"/>
    <w:rsid w:val="00D63C92"/>
    <w:rsid w:val="00FA583D"/>
    <w:rsid w:val="00FB0BC2"/>
    <w:rsid w:val="00FB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E33377"/>
  <w15:chartTrackingRefBased/>
  <w15:docId w15:val="{653AF0E5-2E1B-4A0C-8C3E-0D902435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35"/>
  </w:style>
  <w:style w:type="paragraph" w:styleId="Footer">
    <w:name w:val="footer"/>
    <w:basedOn w:val="Normal"/>
    <w:link w:val="FooterChar"/>
    <w:uiPriority w:val="99"/>
    <w:unhideWhenUsed/>
    <w:rsid w:val="0021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35"/>
  </w:style>
  <w:style w:type="paragraph" w:styleId="ListParagraph">
    <w:name w:val="List Paragraph"/>
    <w:basedOn w:val="Normal"/>
    <w:uiPriority w:val="34"/>
    <w:qFormat/>
    <w:rsid w:val="00216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93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77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ser@mytenant.onmicrosoft.com" TargetMode="External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ummy.com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azure/active-directory-b2c/active-directory-b2c-setup-msa-app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jwt.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Rochon</dc:creator>
  <cp:keywords/>
  <dc:description/>
  <cp:lastModifiedBy>Marius Rochon</cp:lastModifiedBy>
  <cp:revision>48</cp:revision>
  <cp:lastPrinted>2017-11-07T17:26:00Z</cp:lastPrinted>
  <dcterms:created xsi:type="dcterms:W3CDTF">2017-11-07T17:01:00Z</dcterms:created>
  <dcterms:modified xsi:type="dcterms:W3CDTF">2018-08-08T19:29:00Z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mrochon@microsoft.com</vt:lpwstr>
  </property>
  <property fmtid="{D5CDD505-2E9C-101B-9397-08002B2CF9AE}" pid="5" name="MSIP_Label_f42aa342-8706-4288-bd11-ebb85995028c_SetDate">
    <vt:lpwstr>2017-11-07T17:11:58.3556238Z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