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28" w:type="dxa"/>
        <w:tblInd w:w="0" w:type="dxa"/>
        <w:tblCellMar>
          <w:top w:w="4" w:type="dxa"/>
          <w:left w:w="69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2365"/>
        <w:gridCol w:w="6663"/>
      </w:tblGrid>
      <w:tr w:rsidR="001031BD" w14:paraId="64817246" w14:textId="77777777">
        <w:trPr>
          <w:trHeight w:val="816"/>
        </w:trPr>
        <w:tc>
          <w:tcPr>
            <w:tcW w:w="2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BD93" w14:textId="77777777" w:rsidR="001031BD" w:rsidRDefault="00300B1A">
            <w:pPr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563A7E9" wp14:editId="7B2D6F1B">
                  <wp:extent cx="1412875" cy="161544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875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916F" w14:textId="77777777" w:rsidR="001031BD" w:rsidRDefault="00300B1A">
            <w:pPr>
              <w:ind w:left="1" w:right="0" w:firstLine="0"/>
              <w:jc w:val="center"/>
            </w:pPr>
            <w:r>
              <w:rPr>
                <w:b/>
                <w:sz w:val="22"/>
              </w:rPr>
              <w:t xml:space="preserve">UNIVERSIDADE ESTADUAL DA PARAÍBA </w:t>
            </w:r>
          </w:p>
          <w:p w14:paraId="312931C8" w14:textId="77777777" w:rsidR="001031BD" w:rsidRDefault="00300B1A">
            <w:pPr>
              <w:ind w:left="0" w:right="1" w:firstLine="0"/>
              <w:jc w:val="center"/>
            </w:pPr>
            <w:r>
              <w:rPr>
                <w:b/>
                <w:sz w:val="22"/>
              </w:rPr>
              <w:t xml:space="preserve">CENTRO DE CIÊNCIAS E TECNOLOGIA </w:t>
            </w:r>
          </w:p>
          <w:p w14:paraId="1467930F" w14:textId="77777777" w:rsidR="001031BD" w:rsidRDefault="00300B1A">
            <w:pPr>
              <w:ind w:left="0" w:right="0" w:firstLine="0"/>
              <w:jc w:val="center"/>
            </w:pPr>
            <w:r>
              <w:rPr>
                <w:b/>
                <w:sz w:val="22"/>
              </w:rPr>
              <w:t xml:space="preserve">DEPARTAMENTO DE COMPUTAÇÃO </w:t>
            </w:r>
          </w:p>
        </w:tc>
      </w:tr>
      <w:tr w:rsidR="001031BD" w14:paraId="452DF721" w14:textId="77777777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09E0BD" w14:textId="77777777" w:rsidR="001031BD" w:rsidRDefault="001031BD">
            <w:pPr>
              <w:spacing w:after="160"/>
              <w:ind w:left="0" w:right="0" w:firstLine="0"/>
              <w:jc w:val="left"/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8F6B" w14:textId="77777777" w:rsidR="001031BD" w:rsidRDefault="00300B1A">
            <w:pPr>
              <w:ind w:left="251" w:right="199" w:firstLine="0"/>
              <w:jc w:val="center"/>
            </w:pPr>
            <w:r>
              <w:rPr>
                <w:b/>
                <w:sz w:val="22"/>
              </w:rPr>
              <w:t xml:space="preserve">COMPONENTE CURRICULAR: PORTUGUÊS INSTRUMENTAL CURSO: CIÊNCIA DA COMPUTAÇÃO </w:t>
            </w:r>
          </w:p>
        </w:tc>
      </w:tr>
      <w:tr w:rsidR="001031BD" w14:paraId="5944BC7A" w14:textId="77777777">
        <w:trPr>
          <w:trHeight w:val="3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6E7F30" w14:textId="77777777" w:rsidR="001031BD" w:rsidRDefault="001031BD">
            <w:pPr>
              <w:spacing w:after="160"/>
              <w:ind w:left="0" w:right="0" w:firstLine="0"/>
              <w:jc w:val="left"/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11E2" w14:textId="77777777" w:rsidR="001031BD" w:rsidRDefault="00300B1A">
            <w:pPr>
              <w:ind w:left="2" w:right="0" w:firstLine="0"/>
              <w:jc w:val="center"/>
            </w:pPr>
            <w:r>
              <w:rPr>
                <w:b/>
                <w:sz w:val="22"/>
              </w:rPr>
              <w:t xml:space="preserve">CARGA HORÁRIA: 30h </w:t>
            </w:r>
          </w:p>
        </w:tc>
      </w:tr>
      <w:tr w:rsidR="001031BD" w14:paraId="710BCED0" w14:textId="77777777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FF890F" w14:textId="77777777" w:rsidR="001031BD" w:rsidRDefault="001031BD">
            <w:pPr>
              <w:spacing w:after="160"/>
              <w:ind w:left="0" w:right="0" w:firstLine="0"/>
              <w:jc w:val="left"/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DE24" w14:textId="77777777" w:rsidR="001031BD" w:rsidRDefault="00300B1A">
            <w:pPr>
              <w:ind w:left="1" w:right="0" w:firstLine="0"/>
              <w:jc w:val="center"/>
            </w:pPr>
            <w:r>
              <w:rPr>
                <w:b/>
                <w:sz w:val="22"/>
              </w:rPr>
              <w:t xml:space="preserve">SEMESTRE: 2021.1 </w:t>
            </w:r>
          </w:p>
        </w:tc>
      </w:tr>
      <w:tr w:rsidR="001031BD" w14:paraId="3B03C052" w14:textId="77777777">
        <w:trPr>
          <w:trHeight w:val="5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E331" w14:textId="77777777" w:rsidR="001031BD" w:rsidRDefault="001031BD">
            <w:pPr>
              <w:spacing w:after="160"/>
              <w:ind w:left="0" w:right="0" w:firstLine="0"/>
              <w:jc w:val="left"/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C2B7" w14:textId="77777777" w:rsidR="001031BD" w:rsidRDefault="00300B1A">
            <w:pPr>
              <w:ind w:left="0" w:right="0" w:firstLine="0"/>
              <w:jc w:val="center"/>
            </w:pPr>
            <w:r>
              <w:rPr>
                <w:b/>
                <w:sz w:val="22"/>
              </w:rPr>
              <w:t xml:space="preserve">PROFESSORA: </w:t>
            </w:r>
            <w:r>
              <w:rPr>
                <w:b/>
                <w:sz w:val="22"/>
              </w:rPr>
              <w:t xml:space="preserve">Dra. Flávia </w:t>
            </w:r>
            <w:proofErr w:type="gramStart"/>
            <w:r>
              <w:rPr>
                <w:b/>
                <w:sz w:val="22"/>
              </w:rPr>
              <w:t>Elizabeth  flaviaelizabeth@servidor.uepb.edu.br</w:t>
            </w:r>
            <w:proofErr w:type="gramEnd"/>
            <w:r>
              <w:rPr>
                <w:b/>
                <w:sz w:val="22"/>
              </w:rPr>
              <w:t xml:space="preserve">  </w:t>
            </w:r>
          </w:p>
        </w:tc>
      </w:tr>
    </w:tbl>
    <w:p w14:paraId="19F5DB77" w14:textId="77777777" w:rsidR="001031BD" w:rsidRDefault="00300B1A">
      <w:pPr>
        <w:ind w:left="0" w:right="0" w:firstLine="0"/>
        <w:jc w:val="left"/>
      </w:pPr>
      <w:r>
        <w:rPr>
          <w:sz w:val="22"/>
        </w:rPr>
        <w:t xml:space="preserve"> </w:t>
      </w:r>
    </w:p>
    <w:p w14:paraId="07F11743" w14:textId="77777777" w:rsidR="001031BD" w:rsidRDefault="00300B1A">
      <w:pPr>
        <w:spacing w:after="35"/>
        <w:ind w:left="0" w:right="0" w:firstLine="0"/>
        <w:jc w:val="left"/>
      </w:pPr>
      <w:r>
        <w:rPr>
          <w:sz w:val="22"/>
        </w:rPr>
        <w:t xml:space="preserve"> </w:t>
      </w:r>
    </w:p>
    <w:p w14:paraId="47160D34" w14:textId="77777777" w:rsidR="001031BD" w:rsidRDefault="00300B1A">
      <w:pPr>
        <w:spacing w:after="139"/>
        <w:ind w:left="1" w:right="0" w:firstLine="0"/>
        <w:jc w:val="center"/>
      </w:pPr>
      <w:r>
        <w:rPr>
          <w:b/>
          <w:sz w:val="28"/>
          <w:u w:val="single" w:color="000000"/>
        </w:rPr>
        <w:t>ESTUDO DIRIGIDO</w:t>
      </w:r>
      <w:r>
        <w:rPr>
          <w:b/>
          <w:sz w:val="28"/>
        </w:rPr>
        <w:t xml:space="preserve"> </w:t>
      </w:r>
    </w:p>
    <w:p w14:paraId="34054FA5" w14:textId="77777777" w:rsidR="001031BD" w:rsidRDefault="00300B1A">
      <w:pPr>
        <w:spacing w:after="202"/>
        <w:ind w:left="57" w:right="0" w:firstLine="0"/>
        <w:jc w:val="center"/>
      </w:pPr>
      <w:r>
        <w:rPr>
          <w:b/>
        </w:rPr>
        <w:t xml:space="preserve"> </w:t>
      </w:r>
    </w:p>
    <w:p w14:paraId="4ACD38EB" w14:textId="77777777" w:rsidR="001031BD" w:rsidRDefault="00300B1A">
      <w:pPr>
        <w:numPr>
          <w:ilvl w:val="0"/>
          <w:numId w:val="1"/>
        </w:numPr>
        <w:spacing w:after="199"/>
        <w:ind w:right="7" w:hanging="360"/>
        <w:jc w:val="left"/>
      </w:pPr>
      <w:r>
        <w:t xml:space="preserve">Com base na leitura do capítulo </w:t>
      </w:r>
      <w:r>
        <w:t>“</w:t>
      </w:r>
      <w:r>
        <w:t>Gêneros textuais</w:t>
      </w:r>
      <w:r>
        <w:t>”</w:t>
      </w:r>
      <w:r>
        <w:t xml:space="preserve"> (p. 101 - 122), de Koch e Elias (2012), do livro </w:t>
      </w:r>
      <w:r>
        <w:t>“</w:t>
      </w:r>
      <w:r>
        <w:t>Ler e compreender os sentidos do texto</w:t>
      </w:r>
      <w:r>
        <w:t>”</w:t>
      </w:r>
      <w:r>
        <w:t xml:space="preserve">, responda as questões a seguir: </w:t>
      </w:r>
    </w:p>
    <w:p w14:paraId="3E0D7041" w14:textId="77777777" w:rsidR="001031BD" w:rsidRDefault="00300B1A">
      <w:pPr>
        <w:numPr>
          <w:ilvl w:val="0"/>
          <w:numId w:val="1"/>
        </w:numPr>
        <w:spacing w:after="161"/>
        <w:ind w:right="7" w:hanging="360"/>
        <w:jc w:val="left"/>
      </w:pPr>
      <w:r>
        <w:rPr>
          <w:b/>
          <w:color w:val="FF0000"/>
        </w:rPr>
        <w:t>Data de entrega: 10/08/2021.</w:t>
      </w:r>
      <w:r>
        <w:t xml:space="preserve"> </w:t>
      </w:r>
    </w:p>
    <w:p w14:paraId="24984222" w14:textId="77777777" w:rsidR="001031BD" w:rsidRDefault="00300B1A">
      <w:pPr>
        <w:spacing w:after="202"/>
        <w:ind w:left="360" w:right="0" w:firstLine="0"/>
        <w:jc w:val="left"/>
      </w:pPr>
      <w:r>
        <w:t xml:space="preserve"> </w:t>
      </w:r>
    </w:p>
    <w:p w14:paraId="002DE800" w14:textId="29DE09AC" w:rsidR="001031BD" w:rsidRDefault="00300B1A">
      <w:pPr>
        <w:numPr>
          <w:ilvl w:val="1"/>
          <w:numId w:val="1"/>
        </w:numPr>
        <w:spacing w:after="133"/>
        <w:ind w:right="14" w:hanging="283"/>
      </w:pPr>
      <w:r>
        <w:t xml:space="preserve">Explique com suas palavras o que significa competência metagenérica. </w:t>
      </w:r>
    </w:p>
    <w:p w14:paraId="4625CEFF" w14:textId="006FC8CE" w:rsidR="00300B1A" w:rsidRPr="00300B1A" w:rsidRDefault="00300B1A" w:rsidP="00300B1A">
      <w:pPr>
        <w:spacing w:after="133"/>
        <w:ind w:left="693" w:right="14" w:firstLine="0"/>
        <w:rPr>
          <w:rFonts w:asciiTheme="minorHAnsi" w:hAnsiTheme="minorHAnsi" w:cstheme="minorHAnsi"/>
          <w:color w:val="FF0000"/>
          <w:sz w:val="24"/>
          <w:szCs w:val="20"/>
        </w:rPr>
      </w:pPr>
      <w:r w:rsidRPr="00300B1A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Por um lado,</w:t>
      </w:r>
      <w:r w:rsidRPr="00300B1A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 xml:space="preserve"> é a competência metagenérica que orienta a produção de nossas práticas comunicativas, por outro lado, é essa mesma competência que orienta a nossa compreensão sobre os gêneros textuais efetivamente produzidos.</w:t>
      </w:r>
    </w:p>
    <w:p w14:paraId="7C29ECB6" w14:textId="77777777" w:rsidR="001031BD" w:rsidRDefault="00300B1A">
      <w:pPr>
        <w:spacing w:after="176"/>
        <w:ind w:left="785" w:right="0" w:firstLine="0"/>
        <w:jc w:val="left"/>
      </w:pPr>
      <w:r>
        <w:t xml:space="preserve"> </w:t>
      </w:r>
    </w:p>
    <w:p w14:paraId="6F6B0278" w14:textId="5B773A9C" w:rsidR="001031BD" w:rsidRDefault="00300B1A">
      <w:pPr>
        <w:numPr>
          <w:ilvl w:val="1"/>
          <w:numId w:val="1"/>
        </w:numPr>
        <w:spacing w:line="361" w:lineRule="auto"/>
        <w:ind w:right="14" w:hanging="283"/>
      </w:pPr>
      <w:r>
        <w:t xml:space="preserve">Segundo Bakhtin, os gêneros do discurso são formas </w:t>
      </w:r>
      <w:r>
        <w:rPr>
          <w:i/>
        </w:rPr>
        <w:t>relativamente</w:t>
      </w:r>
      <w:r>
        <w:t xml:space="preserve"> estáveis de enunciados. Disserte </w:t>
      </w:r>
      <w:r>
        <w:t xml:space="preserve">sobre essa afirmação. </w:t>
      </w:r>
    </w:p>
    <w:p w14:paraId="08106039" w14:textId="0B7F1F87" w:rsidR="00300B1A" w:rsidRPr="00300B1A" w:rsidRDefault="00300B1A" w:rsidP="00300B1A">
      <w:pPr>
        <w:spacing w:line="276" w:lineRule="auto"/>
        <w:ind w:left="693" w:right="14" w:firstLine="0"/>
        <w:rPr>
          <w:rFonts w:asciiTheme="minorHAnsi" w:hAnsiTheme="minorHAnsi" w:cstheme="minorHAnsi"/>
          <w:color w:val="FF0000"/>
          <w:sz w:val="22"/>
          <w:szCs w:val="18"/>
        </w:rPr>
      </w:pPr>
      <w:r w:rsidRPr="00300B1A">
        <w:rPr>
          <w:rFonts w:asciiTheme="minorHAnsi" w:hAnsiTheme="minorHAnsi" w:cstheme="minorHAnsi"/>
          <w:color w:val="FF0000"/>
          <w:sz w:val="22"/>
          <w:shd w:val="clear" w:color="auto" w:fill="FFFFFF"/>
        </w:rPr>
        <w:t xml:space="preserve">Dizer que os gêneros do discurso são tipos relativamente estáveis de enunciados é, na prática, o mesmo que afirmar que eles são, ao mesmo tempo, estáveis e instáveis. Os gêneros do discurso são, portanto, em sua forma básica de existência, </w:t>
      </w:r>
      <w:r w:rsidRPr="00300B1A">
        <w:rPr>
          <w:rFonts w:asciiTheme="minorHAnsi" w:hAnsiTheme="minorHAnsi" w:cstheme="minorHAnsi"/>
          <w:color w:val="FF0000"/>
          <w:sz w:val="22"/>
          <w:shd w:val="clear" w:color="auto" w:fill="FFFFFF"/>
        </w:rPr>
        <w:t>simultânea</w:t>
      </w:r>
      <w:r w:rsidRPr="00300B1A">
        <w:rPr>
          <w:rFonts w:asciiTheme="minorHAnsi" w:hAnsiTheme="minorHAnsi" w:cstheme="minorHAnsi"/>
          <w:color w:val="FF0000"/>
          <w:sz w:val="22"/>
          <w:shd w:val="clear" w:color="auto" w:fill="FFFFFF"/>
        </w:rPr>
        <w:t xml:space="preserve"> e paradoxalmente, os mesmos e outros</w:t>
      </w:r>
      <w:r>
        <w:rPr>
          <w:rFonts w:asciiTheme="minorHAnsi" w:hAnsiTheme="minorHAnsi" w:cstheme="minorHAnsi"/>
          <w:color w:val="FF0000"/>
          <w:sz w:val="22"/>
          <w:shd w:val="clear" w:color="auto" w:fill="FFFFFF"/>
        </w:rPr>
        <w:t>.</w:t>
      </w:r>
    </w:p>
    <w:p w14:paraId="774AA3A9" w14:textId="77777777" w:rsidR="001031BD" w:rsidRDefault="00300B1A">
      <w:pPr>
        <w:spacing w:after="176"/>
        <w:ind w:left="0" w:right="0" w:firstLine="0"/>
        <w:jc w:val="left"/>
      </w:pPr>
      <w:r>
        <w:t xml:space="preserve"> </w:t>
      </w:r>
    </w:p>
    <w:p w14:paraId="05758428" w14:textId="6DF3355A" w:rsidR="001031BD" w:rsidRDefault="00300B1A">
      <w:pPr>
        <w:numPr>
          <w:ilvl w:val="1"/>
          <w:numId w:val="1"/>
        </w:numPr>
        <w:spacing w:line="361" w:lineRule="auto"/>
        <w:ind w:right="14" w:hanging="283"/>
      </w:pPr>
      <w:r>
        <w:t xml:space="preserve">Com base em um exemplo de gênero textual, destaque o </w:t>
      </w:r>
      <w:r>
        <w:t>“con</w:t>
      </w:r>
      <w:r>
        <w:t>teúdo temático</w:t>
      </w:r>
      <w:r>
        <w:t>”</w:t>
      </w:r>
      <w:r>
        <w:t xml:space="preserve">, </w:t>
      </w:r>
      <w:r>
        <w:t xml:space="preserve">o </w:t>
      </w:r>
      <w:r>
        <w:t>“estilo”</w:t>
      </w:r>
      <w:r>
        <w:t xml:space="preserve"> e a </w:t>
      </w:r>
      <w:r>
        <w:t>“</w:t>
      </w:r>
      <w:r>
        <w:t>estrutura composicional</w:t>
      </w:r>
      <w:r>
        <w:t>”</w:t>
      </w:r>
      <w:r>
        <w:t xml:space="preserve">.  </w:t>
      </w:r>
    </w:p>
    <w:p w14:paraId="2409CFB2" w14:textId="77777777" w:rsidR="00300B1A" w:rsidRDefault="00300B1A" w:rsidP="00300B1A">
      <w:pPr>
        <w:spacing w:line="276" w:lineRule="auto"/>
        <w:ind w:left="693" w:right="14" w:firstLine="0"/>
        <w:rPr>
          <w:color w:val="FF0000"/>
          <w:sz w:val="24"/>
          <w:szCs w:val="24"/>
        </w:rPr>
      </w:pPr>
      <w:r w:rsidRPr="00300B1A">
        <w:rPr>
          <w:color w:val="FF0000"/>
          <w:sz w:val="24"/>
          <w:szCs w:val="24"/>
        </w:rPr>
        <w:t xml:space="preserve">conteúdo temático: que consiste na construção do significado linguístico, com base em fatores sociais, econômicos, culturais, tempo e história. Não está relacionado somente ao assunto do texto, mas, sobretudo, à forma como esse conteúdo ganha sentido e como se materializa, tendo em vista o contexto em que foi produzido; </w:t>
      </w:r>
    </w:p>
    <w:p w14:paraId="4B62FB09" w14:textId="77777777" w:rsidR="00300B1A" w:rsidRDefault="00300B1A" w:rsidP="00300B1A">
      <w:pPr>
        <w:spacing w:line="276" w:lineRule="auto"/>
        <w:ind w:left="693" w:right="14" w:firstLine="0"/>
        <w:rPr>
          <w:color w:val="FF0000"/>
          <w:sz w:val="24"/>
          <w:szCs w:val="24"/>
        </w:rPr>
      </w:pPr>
      <w:r w:rsidRPr="00300B1A">
        <w:rPr>
          <w:color w:val="FF0000"/>
          <w:sz w:val="24"/>
          <w:szCs w:val="24"/>
        </w:rPr>
        <w:lastRenderedPageBreak/>
        <w:t xml:space="preserve">- </w:t>
      </w:r>
      <w:proofErr w:type="gramStart"/>
      <w:r w:rsidRPr="00300B1A">
        <w:rPr>
          <w:color w:val="FF0000"/>
          <w:sz w:val="24"/>
          <w:szCs w:val="24"/>
        </w:rPr>
        <w:t>estilo</w:t>
      </w:r>
      <w:proofErr w:type="gramEnd"/>
      <w:r w:rsidRPr="00300B1A">
        <w:rPr>
          <w:color w:val="FF0000"/>
          <w:sz w:val="24"/>
          <w:szCs w:val="24"/>
        </w:rPr>
        <w:t>: que se refere à escolha de recursos fraseológicos, lexicais e gramaticais que compõem o enunciado, destacando o destinatário e as relações dialógicas com outros enunciados. O destinatário é um elemento importante na constituição do estilo, pois a escolha deste tem base no perfil daquele (idade, classe social, localização espacial, etc.). O gênero pode apresentar a acomodação do estilo individual, onde há singularidade do locutor, ao estilo coletivo, onde há reconfigurações num determinado contexto; e</w:t>
      </w:r>
    </w:p>
    <w:p w14:paraId="2652B79B" w14:textId="4CD36F38" w:rsidR="00300B1A" w:rsidRPr="00300B1A" w:rsidRDefault="00300B1A" w:rsidP="00300B1A">
      <w:pPr>
        <w:spacing w:line="276" w:lineRule="auto"/>
        <w:ind w:left="693" w:right="14" w:firstLine="0"/>
        <w:rPr>
          <w:color w:val="FF0000"/>
          <w:sz w:val="24"/>
          <w:szCs w:val="24"/>
        </w:rPr>
      </w:pPr>
      <w:r w:rsidRPr="00300B1A">
        <w:rPr>
          <w:color w:val="FF0000"/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Estrutura</w:t>
      </w:r>
      <w:r w:rsidRPr="00300B1A">
        <w:rPr>
          <w:color w:val="FF0000"/>
          <w:sz w:val="24"/>
          <w:szCs w:val="24"/>
        </w:rPr>
        <w:t xml:space="preserve"> composicional: que consiste na organização e estruturação dos elementos linguísticos no gênero e o modo como as esferas sociais organizam os enunciados.</w:t>
      </w:r>
    </w:p>
    <w:p w14:paraId="085BAC74" w14:textId="77777777" w:rsidR="001031BD" w:rsidRDefault="00300B1A">
      <w:pPr>
        <w:spacing w:after="176"/>
        <w:ind w:left="785" w:right="0" w:firstLine="0"/>
        <w:jc w:val="left"/>
      </w:pPr>
      <w:r>
        <w:t xml:space="preserve"> </w:t>
      </w:r>
    </w:p>
    <w:p w14:paraId="3FF3A147" w14:textId="5178F58B" w:rsidR="001031BD" w:rsidRDefault="00300B1A">
      <w:pPr>
        <w:numPr>
          <w:ilvl w:val="1"/>
          <w:numId w:val="1"/>
        </w:numPr>
        <w:spacing w:after="134"/>
        <w:ind w:right="14" w:hanging="283"/>
      </w:pPr>
      <w:r>
        <w:t xml:space="preserve">Discorra sobre o fenômeno da </w:t>
      </w:r>
      <w:proofErr w:type="spellStart"/>
      <w:r>
        <w:t>intergenericidade</w:t>
      </w:r>
      <w:proofErr w:type="spellEnd"/>
      <w:r>
        <w:t xml:space="preserve">, citando exemplos.  </w:t>
      </w:r>
    </w:p>
    <w:p w14:paraId="798DA557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“(...) Hoje não dá</w:t>
      </w:r>
    </w:p>
    <w:p w14:paraId="4A0CEEAB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Hoje não dá</w:t>
      </w:r>
    </w:p>
    <w:p w14:paraId="6D2CFDE5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A maldade humana agora não tem nome</w:t>
      </w:r>
    </w:p>
    <w:p w14:paraId="721529FB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Hoje não dá</w:t>
      </w:r>
    </w:p>
    <w:p w14:paraId="30F882B0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</w:p>
    <w:p w14:paraId="48BA6132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Pegue duas medidas de estupidez</w:t>
      </w:r>
    </w:p>
    <w:p w14:paraId="312F8B0A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Junte trinta e quatro partes de mentira</w:t>
      </w:r>
    </w:p>
    <w:p w14:paraId="07F5CA3D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Coloque tudo numa forma</w:t>
      </w:r>
    </w:p>
    <w:p w14:paraId="7B5C4433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Untada previamente</w:t>
      </w:r>
    </w:p>
    <w:p w14:paraId="1DB141A7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Com promessas não cumpridas</w:t>
      </w:r>
    </w:p>
    <w:p w14:paraId="34307784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Adicione a seguir o ódio e a inveja</w:t>
      </w:r>
    </w:p>
    <w:p w14:paraId="4265C03F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Dez colheres cheias de burrice</w:t>
      </w:r>
    </w:p>
    <w:p w14:paraId="548CFAB1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Mexa tudo e misture bem</w:t>
      </w:r>
    </w:p>
    <w:p w14:paraId="3F7A2EEB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E não se esqueça antes de levar ao forno temperar</w:t>
      </w:r>
    </w:p>
    <w:p w14:paraId="4D66C64F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Com essência de espírito de porco</w:t>
      </w:r>
    </w:p>
    <w:p w14:paraId="7AD2B5D6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Duas xícaras de indiferença</w:t>
      </w:r>
    </w:p>
    <w:p w14:paraId="0096DD97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e um tablete e meio de preguiça (...)”.</w:t>
      </w:r>
    </w:p>
    <w:p w14:paraId="36BF8D4C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</w:p>
    <w:p w14:paraId="6D9C733A" w14:textId="77777777" w:rsidR="00300B1A" w:rsidRPr="00300B1A" w:rsidRDefault="00300B1A" w:rsidP="00300B1A">
      <w:pPr>
        <w:spacing w:after="134" w:line="240" w:lineRule="auto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>(Os anjos – Legião Urbana)</w:t>
      </w:r>
    </w:p>
    <w:p w14:paraId="25FD5C7A" w14:textId="77777777" w:rsidR="00300B1A" w:rsidRPr="00300B1A" w:rsidRDefault="00300B1A" w:rsidP="00300B1A">
      <w:pPr>
        <w:spacing w:after="134"/>
        <w:ind w:left="693" w:right="14" w:firstLine="0"/>
        <w:rPr>
          <w:color w:val="FF0000"/>
          <w:sz w:val="22"/>
        </w:rPr>
      </w:pPr>
    </w:p>
    <w:p w14:paraId="2870B33C" w14:textId="03D17716" w:rsidR="00300B1A" w:rsidRPr="00300B1A" w:rsidRDefault="00300B1A" w:rsidP="00300B1A">
      <w:pPr>
        <w:spacing w:after="134"/>
        <w:ind w:left="693" w:right="14" w:firstLine="0"/>
        <w:rPr>
          <w:color w:val="FF0000"/>
          <w:sz w:val="22"/>
        </w:rPr>
      </w:pPr>
      <w:r w:rsidRPr="00300B1A">
        <w:rPr>
          <w:color w:val="FF0000"/>
          <w:sz w:val="22"/>
        </w:rPr>
        <w:t xml:space="preserve">Também podemos notar a </w:t>
      </w:r>
      <w:proofErr w:type="spellStart"/>
      <w:r w:rsidRPr="00300B1A">
        <w:rPr>
          <w:color w:val="FF0000"/>
          <w:sz w:val="22"/>
        </w:rPr>
        <w:t>intergenericidade</w:t>
      </w:r>
      <w:proofErr w:type="spellEnd"/>
      <w:r w:rsidRPr="00300B1A">
        <w:rPr>
          <w:color w:val="FF0000"/>
          <w:sz w:val="22"/>
        </w:rPr>
        <w:t xml:space="preserve"> na letra da canção composta por Renato Russo. Nela, observa-se a fusão de dois gêneros: o gênero letra de música e o gênero receita. O gênero receita está a serviço do gênero letra de música, embora a função deste seja preservada.</w:t>
      </w:r>
    </w:p>
    <w:p w14:paraId="007EF10C" w14:textId="77777777" w:rsidR="001031BD" w:rsidRDefault="00300B1A">
      <w:pPr>
        <w:spacing w:after="173"/>
        <w:ind w:left="0" w:right="0" w:firstLine="0"/>
        <w:jc w:val="left"/>
      </w:pPr>
      <w:r>
        <w:t xml:space="preserve"> </w:t>
      </w:r>
    </w:p>
    <w:p w14:paraId="20F1FB14" w14:textId="32E1B3FF" w:rsidR="001031BD" w:rsidRDefault="00300B1A">
      <w:pPr>
        <w:numPr>
          <w:ilvl w:val="1"/>
          <w:numId w:val="1"/>
        </w:numPr>
        <w:spacing w:line="362" w:lineRule="auto"/>
        <w:ind w:right="14" w:hanging="283"/>
      </w:pPr>
      <w:r>
        <w:lastRenderedPageBreak/>
        <w:t xml:space="preserve">Em que consiste a heterogeneidade tipológica? De que forma esse fenômeno ocorre nos textos? </w:t>
      </w:r>
    </w:p>
    <w:p w14:paraId="17C31395" w14:textId="4616CAF3" w:rsidR="00300B1A" w:rsidRPr="00300B1A" w:rsidRDefault="00300B1A" w:rsidP="00300B1A">
      <w:pPr>
        <w:spacing w:line="276" w:lineRule="auto"/>
        <w:ind w:left="693" w:right="14" w:firstLine="0"/>
        <w:rPr>
          <w:color w:val="FF0000"/>
          <w:sz w:val="28"/>
          <w:szCs w:val="28"/>
        </w:rPr>
      </w:pPr>
      <w:r w:rsidRPr="00300B1A">
        <w:rPr>
          <w:color w:val="FF0000"/>
          <w:sz w:val="28"/>
          <w:szCs w:val="28"/>
        </w:rPr>
        <w:t>A heterogeneidade tipológica consiste na presença de vários tipos textuais em um gênero e a intertextualidade intergêneros seria o fenômeno que um gênero se transforma em outro em um mesmo texto.</w:t>
      </w:r>
    </w:p>
    <w:p w14:paraId="65186EC2" w14:textId="77777777" w:rsidR="00300B1A" w:rsidRDefault="00300B1A" w:rsidP="00300B1A">
      <w:pPr>
        <w:spacing w:line="362" w:lineRule="auto"/>
        <w:ind w:left="693" w:right="14" w:firstLine="0"/>
      </w:pPr>
    </w:p>
    <w:p w14:paraId="7E39FE10" w14:textId="77777777" w:rsidR="001031BD" w:rsidRDefault="00300B1A">
      <w:pPr>
        <w:spacing w:after="84"/>
        <w:ind w:left="53" w:right="0" w:firstLine="0"/>
        <w:jc w:val="center"/>
      </w:pPr>
      <w:r>
        <w:rPr>
          <w:sz w:val="24"/>
        </w:rPr>
        <w:t xml:space="preserve"> </w:t>
      </w:r>
    </w:p>
    <w:p w14:paraId="11D4A251" w14:textId="77777777" w:rsidR="001031BD" w:rsidRDefault="00300B1A">
      <w:pPr>
        <w:ind w:left="0" w:right="0" w:firstLine="0"/>
        <w:jc w:val="right"/>
      </w:pPr>
      <w:r>
        <w:rPr>
          <w:i/>
          <w:sz w:val="18"/>
        </w:rPr>
        <w:t xml:space="preserve">Bom desempenho! </w:t>
      </w:r>
    </w:p>
    <w:sectPr w:rsidR="001031BD">
      <w:pgSz w:w="11906" w:h="16838"/>
      <w:pgMar w:top="1440" w:right="1129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92758"/>
    <w:multiLevelType w:val="hybridMultilevel"/>
    <w:tmpl w:val="2B6E7DF4"/>
    <w:lvl w:ilvl="0" w:tplc="99606AC4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00A23A">
      <w:start w:val="1"/>
      <w:numFmt w:val="decimal"/>
      <w:lvlText w:val="%2."/>
      <w:lvlJc w:val="left"/>
      <w:pPr>
        <w:ind w:left="6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55009C4">
      <w:start w:val="1"/>
      <w:numFmt w:val="lowerRoman"/>
      <w:lvlText w:val="%3"/>
      <w:lvlJc w:val="left"/>
      <w:pPr>
        <w:ind w:left="15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AE0CDE">
      <w:start w:val="1"/>
      <w:numFmt w:val="decimal"/>
      <w:lvlText w:val="%4"/>
      <w:lvlJc w:val="left"/>
      <w:pPr>
        <w:ind w:left="22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D426372">
      <w:start w:val="1"/>
      <w:numFmt w:val="lowerLetter"/>
      <w:lvlText w:val="%5"/>
      <w:lvlJc w:val="left"/>
      <w:pPr>
        <w:ind w:left="29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4E9CF2">
      <w:start w:val="1"/>
      <w:numFmt w:val="lowerRoman"/>
      <w:lvlText w:val="%6"/>
      <w:lvlJc w:val="left"/>
      <w:pPr>
        <w:ind w:left="36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8363A6E">
      <w:start w:val="1"/>
      <w:numFmt w:val="decimal"/>
      <w:lvlText w:val="%7"/>
      <w:lvlJc w:val="left"/>
      <w:pPr>
        <w:ind w:left="43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E6621DA">
      <w:start w:val="1"/>
      <w:numFmt w:val="lowerLetter"/>
      <w:lvlText w:val="%8"/>
      <w:lvlJc w:val="left"/>
      <w:pPr>
        <w:ind w:left="51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3C8102">
      <w:start w:val="1"/>
      <w:numFmt w:val="lowerRoman"/>
      <w:lvlText w:val="%9"/>
      <w:lvlJc w:val="left"/>
      <w:pPr>
        <w:ind w:left="58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1BD"/>
    <w:rsid w:val="001031BD"/>
    <w:rsid w:val="0030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38FDC"/>
  <w15:docId w15:val="{23153219-8D73-4D68-AA2C-DA40F19A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0" w:right="29" w:hanging="370"/>
      <w:jc w:val="both"/>
    </w:pPr>
    <w:rPr>
      <w:rFonts w:ascii="Calibri" w:eastAsia="Calibri" w:hAnsi="Calibri" w:cs="Calibri"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547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Gracilene Felix</dc:creator>
  <cp:keywords/>
  <cp:lastModifiedBy>Irmãos Medeiros Conserto de Maquinas de Padaria</cp:lastModifiedBy>
  <cp:revision>2</cp:revision>
  <dcterms:created xsi:type="dcterms:W3CDTF">2021-08-10T10:04:00Z</dcterms:created>
  <dcterms:modified xsi:type="dcterms:W3CDTF">2021-08-10T10:04:00Z</dcterms:modified>
</cp:coreProperties>
</file>