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olor w:val="1F3864"/>
          <w:sz w:val="36"/>
          <w:szCs w:val="36"/>
        </w:rPr>
        <w:t xml:space="preserve">A Computational SEIR-SEI Model for Dengue Fever Epidemic Simulation:</w:t>
      </w:r>
    </w:p>
    <w:p>
      <w:pPr>
        <w:spacing w:after="360" w:before="0"/>
        <w:jc w:val="center"/>
      </w:pPr>
      <w:r>
        <w:rPr>
          <w:rFonts w:ascii="Times New Roman" w:cs="Times New Roman" w:eastAsia="Times New Roman" w:hAnsi="Times New Roman"/>
          <w:b/>
          <w:bCs/>
          <w:color w:val="2E5F8A"/>
          <w:sz w:val="32"/>
          <w:szCs w:val="32"/>
        </w:rPr>
        <w:t xml:space="preserve">Design, Implementation, and Analysis of an Interactive Python Calculator</w:t>
      </w:r>
    </w:p>
    <w:p>
      <w:pPr>
        <w:pBdr>
          <w:bottom w:val="single" w:color="AAAAAA" w:sz="4" w:space="1"/>
        </w:pBdr>
        <w:spacing w:after="120" w:before="120"/>
      </w:pPr>
    </w:p>
    <w:p>
      <w:pPr>
        <w:spacing w:after="80" w:before="240"/>
        <w:jc w:val="center"/>
      </w:pPr>
      <w:r>
        <w:rPr>
          <w:rFonts w:ascii="Times New Roman" w:cs="Times New Roman" w:eastAsia="Times New Roman" w:hAnsi="Times New Roman"/>
          <w:b/>
          <w:bCs/>
          <w:sz w:val="24"/>
          <w:szCs w:val="24"/>
        </w:rPr>
        <w:t xml:space="preserve">Sustentech Research Group</w:t>
      </w:r>
    </w:p>
    <w:p>
      <w:pPr>
        <w:spacing w:after="240" w:before="0"/>
        <w:jc w:val="center"/>
      </w:pPr>
      <w:r>
        <w:rPr>
          <w:rFonts w:ascii="Times New Roman" w:cs="Times New Roman" w:eastAsia="Times New Roman" w:hAnsi="Times New Roman"/>
          <w:color w:val="555555"/>
          <w:sz w:val="22"/>
          <w:szCs w:val="22"/>
        </w:rPr>
        <w:t xml:space="preserve">Epidemic Modeling Laboratory • 2025</w:t>
      </w:r>
    </w:p>
    <w:p>
      <w:pPr>
        <w:pBdr>
          <w:bottom w:val="single" w:color="AAAAAA" w:sz="4" w:space="1"/>
        </w:pBdr>
        <w:spacing w:after="120" w:before="120"/>
      </w:pPr>
    </w:p>
    <w:p>
      <w:pPr>
        <w:spacing w:after="120" w:before="240"/>
        <w:jc w:val="center"/>
      </w:pPr>
      <w:r>
        <w:rPr>
          <w:rFonts w:ascii="Times New Roman" w:cs="Times New Roman" w:eastAsia="Times New Roman" w:hAnsi="Times New Roman"/>
          <w:b/>
          <w:bCs/>
          <w:color w:val="1F3864"/>
          <w:sz w:val="26"/>
          <w:szCs w:val="26"/>
        </w:rPr>
        <w:t xml:space="preserve">ABSTRACT</w:t>
      </w:r>
    </w:p>
    <w:p>
      <w:pPr>
        <w:spacing w:after="80" w:before="80" w:line="320"/>
        <w:ind w:left="720" w:right="720"/>
        <w:jc w:val="both"/>
      </w:pPr>
      <w:r>
        <w:rPr>
          <w:rFonts w:ascii="Times New Roman" w:cs="Times New Roman" w:eastAsia="Times New Roman" w:hAnsi="Times New Roman"/>
          <w:sz w:val="22"/>
          <w:szCs w:val="22"/>
        </w:rPr>
        <w:t xml:space="preserve">Dengue fever remains one of the most significant vector-borne diseases globally, with an estimated 390 million infections occurring annually. Accurate mathematical modeling of dengue transmission dynamics is essential for designing effective public health interventions. This paper presents the design, implementation, and analysis of an interactive Python-based epidemic calculator that employs a coupled SEIR-SEI (Susceptible-Exposed-Infectious-Recovered / Susceptible-Exposed-Infectious) compartmental model to simulate dengue transmission between human and Aedes aegypti mosquito populations. The software numerically integrates a system of seven ordinary differential equations using the Runge-Kutta 4th-order method, computes the basic reproduction number R₀, and generates epidemiological indicators including epidemic peak, attack rate, and outbreak duration. Sensitivity analysis of R₀ with respect to the biting rate and vector-to-host ratio is also provided. The calculator incorporates an interactive menu-driven terminal interface, scenario comparison capabilities, and high-quality data visualizations. Results from the default parameterization demonstrate an R₀ of 3.105 and a total attack rate of approximately 99.0%, consistent with published empirical data. The tool is validated against theoretical expectations and prior modeling literature, and is suitable for educational and preliminary public health planning purposes.</w:t>
      </w:r>
    </w:p>
    <w:p>
      <w:pPr>
        <w:spacing w:after="240" w:before="80" w:line="320"/>
        <w:ind w:left="720" w:right="720"/>
        <w:jc w:val="both"/>
      </w:pPr>
      <w:r>
        <w:rPr>
          <w:rFonts w:ascii="Times New Roman" w:cs="Times New Roman" w:eastAsia="Times New Roman" w:hAnsi="Times New Roman"/>
          <w:b/>
          <w:bCs/>
          <w:sz w:val="22"/>
          <w:szCs w:val="22"/>
        </w:rPr>
        <w:t xml:space="preserve">Keywords: dengue fever; SEIR-SEI model; epidemic simulation; Aedes aegypti; R₀; computational epidemiology; Python; ordinary differential equations.</w:t>
      </w:r>
    </w:p>
    <w:p>
      <w:pPr>
        <w:pBdr>
          <w:bottom w:val="single" w:color="AAAAAA" w:sz="4" w:space="1"/>
        </w:pBdr>
        <w:spacing w:after="120" w:before="120"/>
      </w:pPr>
    </w:p>
    <w:p>
      <w:pPr>
        <w:pStyle w:val="Heading1"/>
        <w:spacing w:after="180" w:before="360"/>
      </w:pPr>
      <w:r>
        <w:rPr>
          <w:rFonts w:ascii="Times New Roman" w:cs="Times New Roman" w:eastAsia="Times New Roman" w:hAnsi="Times New Roman"/>
          <w:b/>
          <w:bCs/>
          <w:color w:val="1F3864"/>
          <w:sz w:val="28"/>
          <w:szCs w:val="28"/>
        </w:rPr>
        <w:t xml:space="preserve">1. Introduction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Dengue fever is a mosquito-borne viral infection caused by four serotypes of the dengue virus (DENV-1 through DENV-4) and transmitted primarily by the Aedes aegypti mosquito. According to the World Health Organization (WHO), dengue is endemic in more than 100 countries, and global incidence has grown dramatically over recent decades, with an estimated 390 million infections per year, of which approximately 96 million manifest clinically (Bhatt et al., 2013). In tropical and subtropical regions, including large parts of Latin America, Southeast Asia, and sub-Saharan Africa, dengue constitutes a major public health burden.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Mathematical modeling of infectious diseases provides a rigorous framework for understanding transmission dynamics, forecasting epidemic trajectories, evaluating intervention strategies, and estimating key epidemiological parameters. The compartmental modeling approach, pioneered by Kermack and McKendrick (1927), divides the population into distinct epidemiological states and tracks transitions between them via differential equations. For vector-borne diseases such as dengue, the model must account for two interacting populations: the human host and the arthropod vector.</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SEIR-SEI framework, in which both the human population (Susceptible-Exposed-Infectious-Recovered) and the mosquito population (Susceptible-Exposed-Infectious) are modeled with an explicit latency period, has become the standard mathematical representation for dengue transmission dynamics (Esteva &amp; Vargas, 1998; Chowell et al., 2007). This structure captures the intrinsic incubation periods in both host and vector, which are fundamental to dengue epidemiology.</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Despite the wide availability of theoretical dengue models in the academic literature, accessible, interactive computational tools that allow users to explore model behavior and epidemiological indicators remain relatively scarce in open-source settings. This paper describes the design and implementation of an interactive Python epidemic calculator that implements the SEIR-SEI dengue model. The tool is intended for educational purposes, preliminary public health assessments, and as a didactic resource for students and researchers in the fields of mathematical epidemiology and computational biology.</w:t>
      </w:r>
    </w:p>
    <w:p>
      <w:pPr>
        <w:pStyle w:val="Heading1"/>
        <w:spacing w:after="180" w:before="360"/>
      </w:pPr>
      <w:r>
        <w:rPr>
          <w:rFonts w:ascii="Times New Roman" w:cs="Times New Roman" w:eastAsia="Times New Roman" w:hAnsi="Times New Roman"/>
          <w:b/>
          <w:bCs/>
          <w:color w:val="1F3864"/>
          <w:sz w:val="28"/>
          <w:szCs w:val="28"/>
        </w:rPr>
        <w:t xml:space="preserve">2. Mathematical Model</w:t>
      </w:r>
    </w:p>
    <w:p>
      <w:pPr>
        <w:pStyle w:val="Heading2"/>
        <w:spacing w:after="120" w:before="240"/>
      </w:pPr>
      <w:r>
        <w:rPr>
          <w:rFonts w:ascii="Times New Roman" w:cs="Times New Roman" w:eastAsia="Times New Roman" w:hAnsi="Times New Roman"/>
          <w:b/>
          <w:bCs/>
          <w:color w:val="2E5F8A"/>
          <w:sz w:val="26"/>
          <w:szCs w:val="26"/>
        </w:rPr>
        <w:t xml:space="preserve">2.1 Model Structure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model partitions the human population of size Nₕ into four compartments: Susceptible (Sₕ), Exposed (Eₕ), Infectious (Iₕ), and Recovered (Rₕ), where Nₕ = Sₕ + Eₕ + Iₕ + Rₕ at all times. The mosquito (Aedes aegypti) population of size Nₘ is divided into three compartments: Susceptible (Sₘ), Exposed (Eₘ), and Infectious (Iₘ), where Nₘ = Sₘ + Eₘ + Iₘ. Recovered mosquitoes are not modeled, as mosquitoes remain infectious until death.</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model assumes constant population sizes (demographic equilibrium), homogeneous mixing between hosts and vectors, and density-dependent biting rates. These are standard assumptions in dengue models at the population level (Esteva &amp; Vargas, 1998).</w:t>
      </w:r>
    </w:p>
    <w:p>
      <w:pPr>
        <w:pStyle w:val="Heading2"/>
        <w:spacing w:after="120" w:before="240"/>
      </w:pPr>
      <w:r>
        <w:rPr>
          <w:rFonts w:ascii="Times New Roman" w:cs="Times New Roman" w:eastAsia="Times New Roman" w:hAnsi="Times New Roman"/>
          <w:b/>
          <w:bCs/>
          <w:color w:val="2E5F8A"/>
          <w:sz w:val="26"/>
          <w:szCs w:val="26"/>
        </w:rPr>
        <w:t xml:space="preserve">2.2 System of Ordinary Differential Equations</w:t>
      </w:r>
    </w:p>
    <w:p>
      <w:pPr>
        <w:spacing w:after="60" w:before="120" w:line="360"/>
        <w:jc w:val="both"/>
      </w:pPr>
      <w:r>
        <w:rPr>
          <w:rFonts w:ascii="Times New Roman" w:cs="Times New Roman" w:eastAsia="Times New Roman" w:hAnsi="Times New Roman"/>
          <w:b w:val="false"/>
          <w:bCs w:val="false"/>
          <w:i w:val="false"/>
          <w:iCs w:val="false"/>
          <w:color w:val="000000"/>
          <w:sz w:val="24"/>
          <w:szCs w:val="24"/>
        </w:rPr>
        <w:t xml:space="preserve">The dynamics of the system are governed by the following seven coupled ODEs:</w:t>
      </w:r>
    </w:p>
    <w:p>
      <w:pPr>
        <w:spacing w:after="40" w:before="160" w:line="360"/>
        <w:jc w:val="both"/>
      </w:pPr>
      <w:r>
        <w:rPr>
          <w:rFonts w:ascii="Times New Roman" w:cs="Times New Roman" w:eastAsia="Times New Roman" w:hAnsi="Times New Roman"/>
          <w:b/>
          <w:bCs/>
          <w:i w:val="false"/>
          <w:iCs w:val="false"/>
          <w:color w:val="000000"/>
          <w:sz w:val="24"/>
          <w:szCs w:val="24"/>
        </w:rPr>
        <w:t xml:space="preserve">Human population:</w:t>
      </w:r>
    </w:p>
    <w:p>
      <w:pPr>
        <w:shd w:fill="F2F2F2" w:val="clear"/>
        <w:spacing w:after="0" w:before="0" w:line="300"/>
        <w:ind w:left="720"/>
      </w:pPr>
      <w:r>
        <w:rPr>
          <w:rFonts w:ascii="Courier New" w:cs="Courier New" w:eastAsia="Courier New" w:hAnsi="Courier New"/>
          <w:color w:val="1A1A1A"/>
          <w:sz w:val="20"/>
          <w:szCs w:val="20"/>
        </w:rPr>
        <w:t xml:space="preserve">  dSₕ/dt = μₕ·Nₕ - λₕ·Sₕ - μₕ·Sₕ</w:t>
      </w:r>
    </w:p>
    <w:p>
      <w:pPr>
        <w:shd w:fill="F2F2F2" w:val="clear"/>
        <w:spacing w:after="0" w:before="0" w:line="300"/>
        <w:ind w:left="720"/>
      </w:pPr>
      <w:r>
        <w:rPr>
          <w:rFonts w:ascii="Courier New" w:cs="Courier New" w:eastAsia="Courier New" w:hAnsi="Courier New"/>
          <w:color w:val="1A1A1A"/>
          <w:sz w:val="20"/>
          <w:szCs w:val="20"/>
        </w:rPr>
        <w:t xml:space="preserve">  dEₕ/dt = λₕ·Sₕ - σₕ·Eₕ - μₕ·Eₕ</w:t>
      </w:r>
    </w:p>
    <w:p>
      <w:pPr>
        <w:shd w:fill="F2F2F2" w:val="clear"/>
        <w:spacing w:after="0" w:before="0" w:line="300"/>
        <w:ind w:left="720"/>
      </w:pPr>
      <w:r>
        <w:rPr>
          <w:rFonts w:ascii="Courier New" w:cs="Courier New" w:eastAsia="Courier New" w:hAnsi="Courier New"/>
          <w:color w:val="1A1A1A"/>
          <w:sz w:val="20"/>
          <w:szCs w:val="20"/>
        </w:rPr>
        <w:t xml:space="preserve">  dIₕ/dt = σₕ·Eₕ - γₕ·Iₕ - μₕ·Iₕ</w:t>
      </w:r>
    </w:p>
    <w:p>
      <w:pPr>
        <w:shd w:fill="F2F2F2" w:val="clear"/>
        <w:spacing w:after="0" w:before="0" w:line="300"/>
        <w:ind w:left="720"/>
      </w:pPr>
      <w:r>
        <w:rPr>
          <w:rFonts w:ascii="Courier New" w:cs="Courier New" w:eastAsia="Courier New" w:hAnsi="Courier New"/>
          <w:color w:val="1A1A1A"/>
          <w:sz w:val="20"/>
          <w:szCs w:val="20"/>
        </w:rPr>
        <w:t xml:space="preserve">  dRₕ/dt = γₕ·Iₕ - μₕ·Rₕ</w:t>
      </w:r>
    </w:p>
    <w:p>
      <w:pPr>
        <w:spacing w:after="40" w:before="160" w:line="360"/>
        <w:jc w:val="both"/>
      </w:pPr>
      <w:r>
        <w:rPr>
          <w:rFonts w:ascii="Times New Roman" w:cs="Times New Roman" w:eastAsia="Times New Roman" w:hAnsi="Times New Roman"/>
          <w:b/>
          <w:bCs/>
          <w:i w:val="false"/>
          <w:iCs w:val="false"/>
          <w:color w:val="000000"/>
          <w:sz w:val="24"/>
          <w:szCs w:val="24"/>
        </w:rPr>
        <w:t xml:space="preserve">Mosquito population:</w:t>
      </w:r>
    </w:p>
    <w:p>
      <w:pPr>
        <w:shd w:fill="F2F2F2" w:val="clear"/>
        <w:spacing w:after="0" w:before="0" w:line="300"/>
        <w:ind w:left="720"/>
      </w:pPr>
      <w:r>
        <w:rPr>
          <w:rFonts w:ascii="Courier New" w:cs="Courier New" w:eastAsia="Courier New" w:hAnsi="Courier New"/>
          <w:color w:val="1A1A1A"/>
          <w:sz w:val="20"/>
          <w:szCs w:val="20"/>
        </w:rPr>
        <w:t xml:space="preserve">  dSₘ/dt = μₘ·Nₘ - λₘ·Sₘ - μₘ·Sₘ</w:t>
      </w:r>
    </w:p>
    <w:p>
      <w:pPr>
        <w:shd w:fill="F2F2F2" w:val="clear"/>
        <w:spacing w:after="0" w:before="0" w:line="300"/>
        <w:ind w:left="720"/>
      </w:pPr>
      <w:r>
        <w:rPr>
          <w:rFonts w:ascii="Courier New" w:cs="Courier New" w:eastAsia="Courier New" w:hAnsi="Courier New"/>
          <w:color w:val="1A1A1A"/>
          <w:sz w:val="20"/>
          <w:szCs w:val="20"/>
        </w:rPr>
        <w:t xml:space="preserve">  dEₘ/dt = λₘ·Sₘ - σₘ·Eₘ - μₘ·Eₘ</w:t>
      </w:r>
    </w:p>
    <w:p>
      <w:pPr>
        <w:shd w:fill="F2F2F2" w:val="clear"/>
        <w:spacing w:after="0" w:before="0" w:line="300"/>
        <w:ind w:left="720"/>
      </w:pPr>
      <w:r>
        <w:rPr>
          <w:rFonts w:ascii="Courier New" w:cs="Courier New" w:eastAsia="Courier New" w:hAnsi="Courier New"/>
          <w:color w:val="1A1A1A"/>
          <w:sz w:val="20"/>
          <w:szCs w:val="20"/>
        </w:rPr>
        <w:t xml:space="preserve">  dIₘ/dt = σₘ·Eₘ - μₘ·Iₘ</w:t>
      </w:r>
    </w:p>
    <w:p>
      <w:pPr>
        <w:spacing w:after="40" w:before="160" w:line="360"/>
        <w:jc w:val="both"/>
      </w:pPr>
      <w:r>
        <w:rPr>
          <w:rFonts w:ascii="Times New Roman" w:cs="Times New Roman" w:eastAsia="Times New Roman" w:hAnsi="Times New Roman"/>
          <w:b w:val="false"/>
          <w:bCs w:val="false"/>
          <w:i w:val="false"/>
          <w:iCs w:val="false"/>
          <w:color w:val="000000"/>
          <w:sz w:val="24"/>
          <w:szCs w:val="24"/>
        </w:rPr>
        <w:t xml:space="preserve">where the forces of infection are defined as:</w:t>
      </w:r>
    </w:p>
    <w:p>
      <w:pPr>
        <w:shd w:fill="F2F2F2" w:val="clear"/>
        <w:spacing w:after="0" w:before="0" w:line="300"/>
        <w:ind w:left="720"/>
      </w:pPr>
      <w:r>
        <w:rPr>
          <w:rFonts w:ascii="Courier New" w:cs="Courier New" w:eastAsia="Courier New" w:hAnsi="Courier New"/>
          <w:color w:val="1A1A1A"/>
          <w:sz w:val="20"/>
          <w:szCs w:val="20"/>
        </w:rPr>
        <w:t xml:space="preserve">  λₕ = β · bₕ · (Iₘ / Nₕ)   [mosquito-to-human force of infection]</w:t>
      </w:r>
    </w:p>
    <w:p>
      <w:pPr>
        <w:shd w:fill="F2F2F2" w:val="clear"/>
        <w:spacing w:after="0" w:before="0" w:line="300"/>
        <w:ind w:left="720"/>
      </w:pPr>
      <w:r>
        <w:rPr>
          <w:rFonts w:ascii="Courier New" w:cs="Courier New" w:eastAsia="Courier New" w:hAnsi="Courier New"/>
          <w:color w:val="1A1A1A"/>
          <w:sz w:val="20"/>
          <w:szCs w:val="20"/>
        </w:rPr>
        <w:t xml:space="preserve">  λₘ = β · bₘ · (Iₕ / Nₕ)   [human-to-mosquito force of infection]</w:t>
      </w:r>
    </w:p>
    <w:p>
      <w:pPr>
        <w:pStyle w:val="Heading2"/>
        <w:spacing w:after="120" w:before="240"/>
      </w:pPr>
      <w:r>
        <w:rPr>
          <w:rFonts w:ascii="Times New Roman" w:cs="Times New Roman" w:eastAsia="Times New Roman" w:hAnsi="Times New Roman"/>
          <w:b/>
          <w:bCs/>
          <w:color w:val="2E5F8A"/>
          <w:sz w:val="26"/>
          <w:szCs w:val="26"/>
        </w:rPr>
        <w:t xml:space="preserve">2.3 Parameter Definitions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Table 1 summarizes all model parameters, their biological interpretation, default values,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1680"/>
        <w:gridCol w:w="31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Symbol</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Default Value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Source</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β</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Biting rate (bites/mosquito/day)</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0.75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Chowell et al. (2007)</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bₕ</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Prob. of infection per bite (mosq.→human)</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0.50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Esteva &amp; Vargas (1998)</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bₘ</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Prob. of infection per bite (human→mosq.)</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0.30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Esteva &amp; Vargas (1998)</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σₕ</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Human progression rate (E→I), 1/day</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WHO (2023)</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γₕ</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Human recovery rate, 1/day</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1/7</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Gubler (1998)</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μₕ</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Human mortality rate, 1/day</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1/(70·365)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World Bank (2023)</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σₘ</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Mosquito progression rate (E→I), 1/day</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Chan &amp; Johansson (2012)</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μₘ</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Mosquito mortality rate, 1/day</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1/14</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Brady et al. (2013)</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Nₕ</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Total human population</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100,000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User-defined</w:t>
            </w:r>
          </w:p>
        </w:tc>
      </w:tr>
      <w:tr>
        <w:trPr>
          <w:tblHeader w:val="false"/>
        </w:trP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Nₘ</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Total mosquito population</w:t>
            </w:r>
          </w:p>
        </w:tc>
        <w:tc>
          <w:tcPr>
            <w:tcW w:type="dxa" w:w="16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200,000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User-defined</w:t>
            </w:r>
          </w:p>
        </w:tc>
      </w:tr>
    </w:tbl>
    <w:p>
      <w:pPr>
        <w:spacing w:after="240" w:before="80" w:line="360"/>
        <w:jc w:val="center"/>
      </w:pPr>
      <w:r>
        <w:rPr>
          <w:rFonts w:ascii="Times New Roman" w:cs="Times New Roman" w:eastAsia="Times New Roman" w:hAnsi="Times New Roman"/>
          <w:b w:val="false"/>
          <w:bCs w:val="false"/>
          <w:i/>
          <w:iCs/>
          <w:color w:val="000000"/>
          <w:sz w:val="24"/>
          <w:szCs w:val="24"/>
        </w:rPr>
        <w:t xml:space="preserve">Table 1. Model parameters, default values, and bibliographic sources.</w:t>
      </w:r>
    </w:p>
    <w:p>
      <w:pPr>
        <w:pStyle w:val="Heading2"/>
        <w:spacing w:after="120" w:before="240"/>
      </w:pPr>
      <w:r>
        <w:rPr>
          <w:rFonts w:ascii="Times New Roman" w:cs="Times New Roman" w:eastAsia="Times New Roman" w:hAnsi="Times New Roman"/>
          <w:b/>
          <w:bCs/>
          <w:color w:val="2E5F8A"/>
          <w:sz w:val="26"/>
          <w:szCs w:val="26"/>
        </w:rPr>
        <w:t xml:space="preserve">2.4 Basic Reproduction Number (R₀)</w:t>
      </w:r>
    </w:p>
    <w:p>
      <w:pPr>
        <w:spacing w:after="60" w:before="120" w:line="360"/>
        <w:jc w:val="both"/>
      </w:pPr>
      <w:r>
        <w:rPr>
          <w:rFonts w:ascii="Times New Roman" w:cs="Times New Roman" w:eastAsia="Times New Roman" w:hAnsi="Times New Roman"/>
          <w:b w:val="false"/>
          <w:bCs w:val="false"/>
          <w:i w:val="false"/>
          <w:iCs w:val="false"/>
          <w:color w:val="000000"/>
          <w:sz w:val="24"/>
          <w:szCs w:val="24"/>
        </w:rPr>
        <w:t xml:space="preserve">The basic reproduction number R₀ represents the average number of secondary infections generated by a single infectious individual in an entirely susceptible population. For the coupled SEIR-SEI dengue model, R₀ is derived using the Next Generation Matrix (NGM) method (Diekmann et al., 2010) and is given analytically by:</w:t>
      </w:r>
    </w:p>
    <w:p>
      <w:pPr>
        <w:shd w:fill="F2F2F2" w:val="clear"/>
        <w:spacing w:after="0" w:before="0" w:line="300"/>
        <w:ind w:left="720"/>
      </w:pPr>
      <w:r>
        <w:rPr>
          <w:rFonts w:ascii="Courier New" w:cs="Courier New" w:eastAsia="Courier New" w:hAnsi="Courier New"/>
          <w:color w:val="1A1A1A"/>
          <w:sz w:val="20"/>
          <w:szCs w:val="20"/>
        </w:rPr>
        <w:t xml:space="preserve">        ┌────────────────────────────────────────────┐</w:t>
      </w:r>
    </w:p>
    <w:p>
      <w:pPr>
        <w:shd w:fill="F2F2F2" w:val="clear"/>
        <w:spacing w:after="0" w:before="0" w:line="300"/>
        <w:ind w:left="720"/>
      </w:pPr>
      <w:r>
        <w:rPr>
          <w:rFonts w:ascii="Courier New" w:cs="Courier New" w:eastAsia="Courier New" w:hAnsi="Courier New"/>
          <w:color w:val="1A1A1A"/>
          <w:sz w:val="20"/>
          <w:szCs w:val="20"/>
        </w:rPr>
        <w:t xml:space="preserve">        │  β² · bₕ · bₘ · Nₘ · σₕ · σₘ                     │</w:t>
      </w:r>
    </w:p>
    <w:p>
      <w:pPr>
        <w:shd w:fill="F2F2F2" w:val="clear"/>
        <w:spacing w:after="0" w:before="0" w:line="300"/>
        <w:ind w:left="720"/>
      </w:pPr>
      <w:r>
        <w:rPr>
          <w:rFonts w:ascii="Courier New" w:cs="Courier New" w:eastAsia="Courier New" w:hAnsi="Courier New"/>
          <w:color w:val="1A1A1A"/>
          <w:sz w:val="20"/>
          <w:szCs w:val="20"/>
        </w:rPr>
        <w:t xml:space="preserve">R₀ = √  │  ──────────────────────────────────────  │</w:t>
      </w:r>
    </w:p>
    <w:p>
      <w:pPr>
        <w:shd w:fill="F2F2F2" w:val="clear"/>
        <w:spacing w:after="0" w:before="0" w:line="300"/>
        <w:ind w:left="720"/>
      </w:pPr>
      <w:r>
        <w:rPr>
          <w:rFonts w:ascii="Courier New" w:cs="Courier New" w:eastAsia="Courier New" w:hAnsi="Courier New"/>
          <w:color w:val="1A1A1A"/>
          <w:sz w:val="20"/>
          <w:szCs w:val="20"/>
        </w:rPr>
        <w:t xml:space="preserve">        │  Nₕ·(σₕ+μₕ)·(γₕ+μₕ)·μₘ·(σₘ+μₘ)       │</w:t>
      </w:r>
    </w:p>
    <w:p>
      <w:pPr>
        <w:shd w:fill="F2F2F2" w:val="clear"/>
        <w:spacing w:after="0" w:before="0" w:line="300"/>
        <w:ind w:left="720"/>
      </w:pPr>
      <w:r>
        <w:rPr>
          <w:rFonts w:ascii="Courier New" w:cs="Courier New" w:eastAsia="Courier New" w:hAnsi="Courier New"/>
          <w:color w:val="1A1A1A"/>
          <w:sz w:val="20"/>
          <w:szCs w:val="20"/>
        </w:rPr>
        <w:t xml:space="preserve">        └────────────────────────────────────────────┘</w:t>
      </w:r>
    </w:p>
    <w:p>
      <w:pPr>
        <w:spacing w:after="120" w:before="160" w:line="360"/>
        <w:jc w:val="both"/>
      </w:pPr>
      <w:r>
        <w:rPr>
          <w:rFonts w:ascii="Times New Roman" w:cs="Times New Roman" w:eastAsia="Times New Roman" w:hAnsi="Times New Roman"/>
          <w:b w:val="false"/>
          <w:bCs w:val="false"/>
          <w:i w:val="false"/>
          <w:iCs w:val="false"/>
          <w:color w:val="000000"/>
          <w:sz w:val="24"/>
          <w:szCs w:val="24"/>
        </w:rPr>
        <w:t xml:space="preserve">This formulation reflects the two-generation infection cycle inherent to dengue: a human infects a mosquito, which subsequently infects another human. The square root arises from the geometric mean of these two transmission events (Esteva &amp; Vargas, 1998). When R₀ &gt; 1, the disease can invade and sustain itself in the population; when R₀ &lt; 1, the disease-free equilibrium is stable and the epidemic cannot persist.</w:t>
      </w:r>
    </w:p>
    <w:p>
      <w:pPr>
        <w:pStyle w:val="Heading1"/>
        <w:spacing w:after="180" w:before="360"/>
      </w:pPr>
      <w:r>
        <w:rPr>
          <w:rFonts w:ascii="Times New Roman" w:cs="Times New Roman" w:eastAsia="Times New Roman" w:hAnsi="Times New Roman"/>
          <w:b/>
          <w:bCs/>
          <w:color w:val="1F3864"/>
          <w:sz w:val="28"/>
          <w:szCs w:val="28"/>
        </w:rPr>
        <w:t xml:space="preserve">3. Software Implementation</w:t>
      </w:r>
    </w:p>
    <w:p>
      <w:pPr>
        <w:pStyle w:val="Heading2"/>
        <w:spacing w:after="120" w:before="240"/>
      </w:pPr>
      <w:r>
        <w:rPr>
          <w:rFonts w:ascii="Times New Roman" w:cs="Times New Roman" w:eastAsia="Times New Roman" w:hAnsi="Times New Roman"/>
          <w:b/>
          <w:bCs/>
          <w:color w:val="2E5F8A"/>
          <w:sz w:val="26"/>
          <w:szCs w:val="26"/>
        </w:rPr>
        <w:t xml:space="preserve">3.1 Technology Stack</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epidemic calculator is implemented in Python 3, using the following scientific computing libraries:</w:t>
      </w:r>
    </w:p>
    <w:p>
      <w:pPr>
        <w:pStyle w:val="ListParagraph"/>
        <w:numPr>
          <w:ilvl w:val="0"/>
          <w:numId w:val="2"/>
        </w:numPr>
        <w:spacing w:after="60" w:before="60" w:line="320"/>
      </w:pPr>
      <w:r>
        <w:rPr>
          <w:rFonts w:ascii="Times New Roman" w:cs="Times New Roman" w:eastAsia="Times New Roman" w:hAnsi="Times New Roman"/>
          <w:sz w:val="24"/>
          <w:szCs w:val="24"/>
        </w:rPr>
        <w:t xml:space="preserve">NumPy (Harris et al., 2020): array operations, vectorized computations, and gradient estimation for incidence curves.</w:t>
      </w:r>
    </w:p>
    <w:p>
      <w:pPr>
        <w:pStyle w:val="ListParagraph"/>
        <w:numPr>
          <w:ilvl w:val="0"/>
          <w:numId w:val="2"/>
        </w:numPr>
        <w:spacing w:after="60" w:before="60" w:line="320"/>
      </w:pPr>
      <w:r>
        <w:rPr>
          <w:rFonts w:ascii="Times New Roman" w:cs="Times New Roman" w:eastAsia="Times New Roman" w:hAnsi="Times New Roman"/>
          <w:sz w:val="24"/>
          <w:szCs w:val="24"/>
        </w:rPr>
        <w:t xml:space="preserve">SciPy (Virtanen et al., 2020): numerical integration of the ODE system via solve_ivp with the RK45 (Dormand-Prince) adaptive step-size integrator.</w:t>
      </w:r>
    </w:p>
    <w:p>
      <w:pPr>
        <w:pStyle w:val="ListParagraph"/>
        <w:numPr>
          <w:ilvl w:val="0"/>
          <w:numId w:val="2"/>
        </w:numPr>
        <w:spacing w:after="60" w:before="60" w:line="320"/>
      </w:pPr>
      <w:r>
        <w:rPr>
          <w:rFonts w:ascii="Times New Roman" w:cs="Times New Roman" w:eastAsia="Times New Roman" w:hAnsi="Times New Roman"/>
          <w:sz w:val="24"/>
          <w:szCs w:val="24"/>
        </w:rPr>
        <w:t xml:space="preserve">Matplotlib (Hunter, 2007): generation of publication-quality multi-panel figures and sensitivity analysis plots.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ODE system is solved with relative tolerance rtol = 10⁻⁸ and absolute tolerance atol = 10⁻¹⁰, ensuring high numerical precision throughout the simulation.</w:t>
      </w:r>
    </w:p>
    <w:p>
      <w:pPr>
        <w:pStyle w:val="Heading2"/>
        <w:spacing w:after="120" w:before="240"/>
      </w:pPr>
      <w:r>
        <w:rPr>
          <w:rFonts w:ascii="Times New Roman" w:cs="Times New Roman" w:eastAsia="Times New Roman" w:hAnsi="Times New Roman"/>
          <w:b/>
          <w:bCs/>
          <w:color w:val="2E5F8A"/>
          <w:sz w:val="26"/>
          <w:szCs w:val="26"/>
        </w:rPr>
        <w:t xml:space="preserve">3.2 Code Architecture</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codebase is organized into six functional modules:</w:t>
      </w:r>
    </w:p>
    <w:p>
      <w:pPr>
        <w:pStyle w:val="ListParagraph"/>
        <w:numPr>
          <w:ilvl w:val="0"/>
          <w:numId w:val="2"/>
        </w:numPr>
        <w:spacing w:after="60" w:before="60" w:line="320"/>
      </w:pPr>
      <w:r>
        <w:rPr>
          <w:rFonts w:ascii="Times New Roman" w:cs="Times New Roman" w:eastAsia="Times New Roman" w:hAnsi="Times New Roman"/>
          <w:sz w:val="24"/>
          <w:szCs w:val="24"/>
        </w:rPr>
        <w:t xml:space="preserve">System of ODEs (sistema_dengue): Encodes the seven-equation SEIR-SEI system as a Python function compatible with scipy.integrate.solve_ivp.</w:t>
      </w:r>
    </w:p>
    <w:p>
      <w:pPr>
        <w:pStyle w:val="ListParagraph"/>
        <w:numPr>
          <w:ilvl w:val="0"/>
          <w:numId w:val="2"/>
        </w:numPr>
        <w:spacing w:after="60" w:before="60" w:line="320"/>
      </w:pPr>
      <w:r>
        <w:rPr>
          <w:rFonts w:ascii="Times New Roman" w:cs="Times New Roman" w:eastAsia="Times New Roman" w:hAnsi="Times New Roman"/>
          <w:sz w:val="24"/>
          <w:szCs w:val="24"/>
        </w:rPr>
        <w:t xml:space="preserve">R₀ Calculator (calcular_R0): Evaluates the closed-form analytical expression for R₀ from the NGM derivation.</w:t>
      </w:r>
    </w:p>
    <w:p>
      <w:pPr>
        <w:pStyle w:val="ListParagraph"/>
        <w:numPr>
          <w:ilvl w:val="0"/>
          <w:numId w:val="2"/>
        </w:numPr>
        <w:spacing w:after="60" w:before="60" w:line="320"/>
      </w:pPr>
      <w:r>
        <w:rPr>
          <w:rFonts w:ascii="Times New Roman" w:cs="Times New Roman" w:eastAsia="Times New Roman" w:hAnsi="Times New Roman"/>
          <w:sz w:val="24"/>
          <w:szCs w:val="24"/>
        </w:rPr>
        <w:t xml:space="preserve">Simulation Engine (simular): Configures initial conditions, invokes the ODE solver, and returns the full solution trajectory.</w:t>
      </w:r>
    </w:p>
    <w:p>
      <w:pPr>
        <w:pStyle w:val="ListParagraph"/>
        <w:numPr>
          <w:ilvl w:val="0"/>
          <w:numId w:val="2"/>
        </w:numPr>
        <w:spacing w:after="60" w:before="60" w:line="320"/>
      </w:pPr>
      <w:r>
        <w:rPr>
          <w:rFonts w:ascii="Times New Roman" w:cs="Times New Roman" w:eastAsia="Times New Roman" w:hAnsi="Times New Roman"/>
          <w:sz w:val="24"/>
          <w:szCs w:val="24"/>
        </w:rPr>
        <w:t xml:space="preserve">Epidemiological Indicators (calcular_indicadores): Post-processes the solution to extract peak infections, epidemic peak day, total cases, attack rate, and outbreak duration.</w:t>
      </w:r>
    </w:p>
    <w:p>
      <w:pPr>
        <w:pStyle w:val="ListParagraph"/>
        <w:numPr>
          <w:ilvl w:val="0"/>
          <w:numId w:val="2"/>
        </w:numPr>
        <w:spacing w:after="60" w:before="60" w:line="320"/>
      </w:pPr>
      <w:r>
        <w:rPr>
          <w:rFonts w:ascii="Times New Roman" w:cs="Times New Roman" w:eastAsia="Times New Roman" w:hAnsi="Times New Roman"/>
          <w:sz w:val="24"/>
          <w:szCs w:val="24"/>
        </w:rPr>
        <w:t xml:space="preserve">Visualization (plotar_resultado, analise_sensibilidade, comparar_cenarios): Generates a six-panel dashboard figure, a sensitivity analysis chart, and a scenario comparison figure.</w:t>
      </w:r>
    </w:p>
    <w:p>
      <w:pPr>
        <w:pStyle w:val="ListParagraph"/>
        <w:numPr>
          <w:ilvl w:val="0"/>
          <w:numId w:val="2"/>
        </w:numPr>
        <w:spacing w:after="60" w:before="60" w:line="320"/>
      </w:pPr>
      <w:r>
        <w:rPr>
          <w:rFonts w:ascii="Times New Roman" w:cs="Times New Roman" w:eastAsia="Times New Roman" w:hAnsi="Times New Roman"/>
          <w:sz w:val="24"/>
          <w:szCs w:val="24"/>
        </w:rPr>
        <w:t xml:space="preserve">Interactive Interface (main, menu_interativo): Provides a terminal-based menu for parameter customization, screen management, and sequential execution of analyses.</w:t>
      </w:r>
    </w:p>
    <w:p>
      <w:pPr>
        <w:pStyle w:val="Heading2"/>
        <w:spacing w:after="120" w:before="240"/>
      </w:pPr>
      <w:r>
        <w:rPr>
          <w:rFonts w:ascii="Times New Roman" w:cs="Times New Roman" w:eastAsia="Times New Roman" w:hAnsi="Times New Roman"/>
          <w:b/>
          <w:bCs/>
          <w:color w:val="2E5F8A"/>
          <w:sz w:val="26"/>
          <w:szCs w:val="26"/>
        </w:rPr>
        <w:t xml:space="preserve">3.3 Numerical Integration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Dormand-Prince RK45 method is an explicit, adaptive Runge-Kutta integrator of order 4(5) that automatically adjusts the time step to maintain the specified error tolerances. This method is appropriate for the dengue ODE system, which is non-stiff and smooth over the simulation domain (0 to 365 days). The evaluation grid is set at four points per day (t_eval = np.linspace(0, days, days * 4)), providing sufficient resolution for accurate gradient estimation of the incidence curve.</w:t>
      </w:r>
    </w:p>
    <w:p>
      <w:pPr>
        <w:pStyle w:val="Heading2"/>
        <w:spacing w:after="120" w:before="240"/>
      </w:pPr>
      <w:r>
        <w:rPr>
          <w:rFonts w:ascii="Times New Roman" w:cs="Times New Roman" w:eastAsia="Times New Roman" w:hAnsi="Times New Roman"/>
          <w:b/>
          <w:bCs/>
          <w:color w:val="2E5F8A"/>
          <w:sz w:val="26"/>
          <w:szCs w:val="26"/>
        </w:rPr>
        <w:t xml:space="preserve">3.4 Visualization and Output</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Upon completion of a simulation, the program generates three output figures saved to the script directory:</w:t>
      </w:r>
    </w:p>
    <w:p>
      <w:pPr>
        <w:pStyle w:val="ListParagraph"/>
        <w:numPr>
          <w:ilvl w:val="0"/>
          <w:numId w:val="2"/>
        </w:numPr>
        <w:spacing w:after="60" w:before="60" w:line="320"/>
      </w:pPr>
      <w:r>
        <w:rPr>
          <w:rFonts w:ascii="Times New Roman" w:cs="Times New Roman" w:eastAsia="Times New Roman" w:hAnsi="Times New Roman"/>
          <w:sz w:val="24"/>
          <w:szCs w:val="24"/>
        </w:rPr>
        <w:t xml:space="preserve">dengue_epidemia.png: A six-panel dashboard displaying human compartment dynamics, mosquito compartment dynamics, daily incidence (new cases per day), population composition as a stacked area chart, and a key indicators panel including R₀, epidemic peak, total cases, attack rate, and outbreak duration.</w:t>
      </w:r>
    </w:p>
    <w:p>
      <w:pPr>
        <w:pStyle w:val="ListParagraph"/>
        <w:numPr>
          <w:ilvl w:val="0"/>
          <w:numId w:val="2"/>
        </w:numPr>
        <w:spacing w:after="60" w:before="60" w:line="320"/>
      </w:pPr>
      <w:r>
        <w:rPr>
          <w:rFonts w:ascii="Times New Roman" w:cs="Times New Roman" w:eastAsia="Times New Roman" w:hAnsi="Times New Roman"/>
          <w:sz w:val="24"/>
          <w:szCs w:val="24"/>
        </w:rPr>
        <w:t xml:space="preserve">dengue_cenarios.png: A two-panel comparison of infectious and cumulative case curves across three intervention scenarios.</w:t>
      </w:r>
    </w:p>
    <w:p>
      <w:pPr>
        <w:pStyle w:val="ListParagraph"/>
        <w:numPr>
          <w:ilvl w:val="0"/>
          <w:numId w:val="2"/>
        </w:numPr>
        <w:spacing w:after="60" w:before="60" w:line="320"/>
      </w:pPr>
      <w:r>
        <w:rPr>
          <w:rFonts w:ascii="Times New Roman" w:cs="Times New Roman" w:eastAsia="Times New Roman" w:hAnsi="Times New Roman"/>
          <w:sz w:val="24"/>
          <w:szCs w:val="24"/>
        </w:rPr>
        <w:t xml:space="preserve">dengue_sensibilidade.png: A line chart depicting R₀ as a function of the biting rate β for four vector-to-host density ratios.</w:t>
      </w:r>
    </w:p>
    <w:p>
      <w:pPr>
        <w:pStyle w:val="Heading1"/>
        <w:spacing w:after="180" w:before="360"/>
      </w:pPr>
      <w:r>
        <w:rPr>
          <w:rFonts w:ascii="Times New Roman" w:cs="Times New Roman" w:eastAsia="Times New Roman" w:hAnsi="Times New Roman"/>
          <w:b/>
          <w:bCs/>
          <w:color w:val="1F3864"/>
          <w:sz w:val="28"/>
          <w:szCs w:val="28"/>
        </w:rPr>
        <w:t xml:space="preserve">4. Results and Validation</w:t>
      </w:r>
    </w:p>
    <w:p>
      <w:pPr>
        <w:pStyle w:val="Heading2"/>
        <w:spacing w:after="120" w:before="240"/>
      </w:pPr>
      <w:r>
        <w:rPr>
          <w:rFonts w:ascii="Times New Roman" w:cs="Times New Roman" w:eastAsia="Times New Roman" w:hAnsi="Times New Roman"/>
          <w:b/>
          <w:bCs/>
          <w:color w:val="2E5F8A"/>
          <w:sz w:val="26"/>
          <w:szCs w:val="26"/>
        </w:rPr>
        <w:t xml:space="preserve">4.1 Baseline Simulation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With the default parameterization (Table 1), the model produces an R₀ of 3.105, consistent with published estimates for dengue in tropical settings, which typically range from 1.3 to 6.3 depending on the region and Aedes density (Brady et al., 2014; Nishiura, 2006). The epidemic peak occurs at approximately day 55, with a maximum of 17,384 simultaneous infectious individuals (17.4% of the human population). The total attack rate reaches 99.0% by the end of the 365-day simulation period, reflecting the near-total depletion of susceptibles in the absence of any control measures.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These results are consistent with the theoretical expectation that, for large R₀ values, the final epidemic size approaches the complete susceptible population, as described by the Kermack-McKendrick final-size equation.</w:t>
      </w:r>
    </w:p>
    <w:p>
      <w:pPr>
        <w:pStyle w:val="Heading2"/>
        <w:spacing w:after="120" w:before="240"/>
      </w:pPr>
      <w:r>
        <w:rPr>
          <w:rFonts w:ascii="Times New Roman" w:cs="Times New Roman" w:eastAsia="Times New Roman" w:hAnsi="Times New Roman"/>
          <w:b/>
          <w:bCs/>
          <w:color w:val="2E5F8A"/>
          <w:sz w:val="26"/>
          <w:szCs w:val="26"/>
        </w:rPr>
        <w:t xml:space="preserve">4.2 Scenario Comparison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Three intervention scenarios were evaluated to demonstrate the sensitivity of the model to control measures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2520"/>
        <w:gridCol w:w="252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Scenario</w:t>
            </w:r>
          </w:p>
        </w:tc>
        <w:tc>
          <w:tcPr>
            <w:tcW w:type="dxa" w:w="1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R₀</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Peak Infectious</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Total Cases</w:t>
            </w:r>
          </w:p>
        </w:tc>
      </w:tr>
      <w:tr>
        <w:trPr>
          <w:tblHeader w:val="false"/>
        </w:trP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No control (β=0.75, Nₘ=200k)</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3.105</w:t>
            </w:r>
          </w:p>
        </w:tc>
        <w:tc>
          <w:tcPr>
            <w:tcW w:type="dxa" w:w="25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17,384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99,047</w:t>
            </w:r>
          </w:p>
        </w:tc>
      </w:tr>
      <w:tr>
        <w:trPr>
          <w:tblHeader w:val="false"/>
        </w:trP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Moderate control (β=0.40, Nₘ=100k)</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1.171</w:t>
            </w:r>
          </w:p>
        </w:tc>
        <w:tc>
          <w:tcPr>
            <w:tcW w:type="dxa" w:w="25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701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12,739</w:t>
            </w:r>
          </w:p>
        </w:tc>
      </w:tr>
      <w:tr>
        <w:trPr>
          <w:tblHeader w:val="false"/>
        </w:trP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Intensive control (β=0.20, Nₘ=50k)</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0.414</w:t>
            </w:r>
          </w:p>
        </w:tc>
        <w:tc>
          <w:tcPr>
            <w:tcW w:type="dxa" w:w="25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95</w:t>
            </w:r>
          </w:p>
        </w:tc>
      </w:tr>
    </w:tbl>
    <w:p>
      <w:pPr>
        <w:spacing w:after="240" w:before="80" w:line="360"/>
        <w:jc w:val="center"/>
      </w:pPr>
      <w:r>
        <w:rPr>
          <w:rFonts w:ascii="Times New Roman" w:cs="Times New Roman" w:eastAsia="Times New Roman" w:hAnsi="Times New Roman"/>
          <w:b w:val="false"/>
          <w:bCs w:val="false"/>
          <w:i/>
          <w:iCs/>
          <w:color w:val="000000"/>
          <w:sz w:val="24"/>
          <w:szCs w:val="24"/>
        </w:rPr>
        <w:t xml:space="preserve">Table 2. Scenario comparison results for a human population of Nₕ = 100,000.</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intensive control scenario, which models a combination of vector population reduction (50% decrease in Nₘ) and personal protection measures (reduction of β from 0.75 to 0.20), drives R₀ below the epidemic threshold (R₀ = 0.414 &lt; 1), effectively preventing large-scale transmission. This demonstrates the critical importance of achieving R₀ &lt; 1 through integrated vector management.</w:t>
      </w:r>
    </w:p>
    <w:p>
      <w:pPr>
        <w:pStyle w:val="Heading2"/>
        <w:spacing w:after="120" w:before="240"/>
      </w:pPr>
      <w:r>
        <w:rPr>
          <w:rFonts w:ascii="Times New Roman" w:cs="Times New Roman" w:eastAsia="Times New Roman" w:hAnsi="Times New Roman"/>
          <w:b/>
          <w:bCs/>
          <w:color w:val="2E5F8A"/>
          <w:sz w:val="26"/>
          <w:szCs w:val="26"/>
        </w:rPr>
        <w:t xml:space="preserve">4.3 Sensitivity Analysis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sensitivity analysis of R₀ with respect to the biting rate β and the vector-to-host ratio (Nₘ/Nₕ) reveals a nonlinear (square-root) relationship, consistent with the analytical structure of the R₀ formula. Doubling the vector density from 0.5× to 1.0× increases R₀ by a factor of √2 ≈ 1.41, while doubling β increases R₀ by a factor of 2 (since R₀ ∝ β). This underscores that the biting rate is a particularly potent transmission driver, and that personal protection measures targeting β (e.g., repellents, bed nets) may be more effective per unit effort than vector population reduction alone.</w:t>
      </w:r>
    </w:p>
    <w:p>
      <w:pPr>
        <w:pStyle w:val="Heading1"/>
        <w:spacing w:after="180" w:before="360"/>
      </w:pPr>
      <w:r>
        <w:rPr>
          <w:rFonts w:ascii="Times New Roman" w:cs="Times New Roman" w:eastAsia="Times New Roman" w:hAnsi="Times New Roman"/>
          <w:b/>
          <w:bCs/>
          <w:color w:val="1F3864"/>
          <w:sz w:val="28"/>
          <w:szCs w:val="28"/>
        </w:rPr>
        <w:t xml:space="preserve">5. Limitations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Several simplifying assumptions limit the model's applicability to real-world settings:</w:t>
      </w:r>
    </w:p>
    <w:p>
      <w:pPr>
        <w:pStyle w:val="ListParagraph"/>
        <w:numPr>
          <w:ilvl w:val="0"/>
          <w:numId w:val="2"/>
        </w:numPr>
        <w:spacing w:after="60" w:before="60" w:line="320"/>
      </w:pPr>
      <w:r>
        <w:rPr>
          <w:rFonts w:ascii="Times New Roman" w:cs="Times New Roman" w:eastAsia="Times New Roman" w:hAnsi="Times New Roman"/>
          <w:sz w:val="24"/>
          <w:szCs w:val="24"/>
        </w:rPr>
        <w:t xml:space="preserve">Homogeneous mixing: The model assumes that all humans and mosquitoes interact uniformly, ignoring spatial heterogeneity and clustering of Aedes populations near breeding sites.</w:t>
      </w:r>
    </w:p>
    <w:p>
      <w:pPr>
        <w:pStyle w:val="ListParagraph"/>
        <w:numPr>
          <w:ilvl w:val="0"/>
          <w:numId w:val="2"/>
        </w:numPr>
        <w:spacing w:after="60" w:before="60" w:line="320"/>
      </w:pPr>
      <w:r>
        <w:rPr>
          <w:rFonts w:ascii="Times New Roman" w:cs="Times New Roman" w:eastAsia="Times New Roman" w:hAnsi="Times New Roman"/>
          <w:sz w:val="24"/>
          <w:szCs w:val="24"/>
        </w:rPr>
        <w:t xml:space="preserve">Constant population sizes: Birth and death rates are included, but population growth, migration, and seasonality of mosquito populations are not modeled.</w:t>
      </w:r>
    </w:p>
    <w:p>
      <w:pPr>
        <w:pStyle w:val="ListParagraph"/>
        <w:numPr>
          <w:ilvl w:val="0"/>
          <w:numId w:val="2"/>
        </w:numPr>
        <w:spacing w:after="60" w:before="60" w:line="320"/>
      </w:pPr>
      <w:r>
        <w:rPr>
          <w:rFonts w:ascii="Times New Roman" w:cs="Times New Roman" w:eastAsia="Times New Roman" w:hAnsi="Times New Roman"/>
          <w:sz w:val="24"/>
          <w:szCs w:val="24"/>
        </w:rPr>
        <w:t xml:space="preserve">Single serotype: Dengue has four serotypes. The current model does not account for cross-immunity or secondary infection dynamics, which are important for hyperendemic settings.</w:t>
      </w:r>
    </w:p>
    <w:p>
      <w:pPr>
        <w:pStyle w:val="ListParagraph"/>
        <w:numPr>
          <w:ilvl w:val="0"/>
          <w:numId w:val="2"/>
        </w:numPr>
        <w:spacing w:after="60" w:before="60" w:line="320"/>
      </w:pPr>
      <w:r>
        <w:rPr>
          <w:rFonts w:ascii="Times New Roman" w:cs="Times New Roman" w:eastAsia="Times New Roman" w:hAnsi="Times New Roman"/>
          <w:sz w:val="24"/>
          <w:szCs w:val="24"/>
        </w:rPr>
        <w:t xml:space="preserve">No waning immunity: The recovered compartment is assumed permanently immune. Evidence suggests that cross-serotype immunity wanes over time.</w:t>
      </w:r>
    </w:p>
    <w:p>
      <w:pPr>
        <w:pStyle w:val="ListParagraph"/>
        <w:numPr>
          <w:ilvl w:val="0"/>
          <w:numId w:val="2"/>
        </w:numPr>
        <w:spacing w:after="60" w:before="60" w:line="320"/>
      </w:pPr>
      <w:r>
        <w:rPr>
          <w:rFonts w:ascii="Times New Roman" w:cs="Times New Roman" w:eastAsia="Times New Roman" w:hAnsi="Times New Roman"/>
          <w:sz w:val="24"/>
          <w:szCs w:val="24"/>
        </w:rPr>
        <w:t xml:space="preserve">Deterministic framework: Stochastic effects, which are important at low case counts and near the epidemic threshold, are not captured.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These limitations are common to the class of deterministic compartmental dengue models and should be considered when interpreting simulation outputs. More complex formulations, including spatially explicit, multi-serotype, or agent-based models, may be warranted for operational public health planning.</w:t>
      </w:r>
    </w:p>
    <w:p>
      <w:pPr>
        <w:pStyle w:val="Heading1"/>
        <w:spacing w:after="180" w:before="360"/>
      </w:pPr>
      <w:r>
        <w:rPr>
          <w:rFonts w:ascii="Times New Roman" w:cs="Times New Roman" w:eastAsia="Times New Roman" w:hAnsi="Times New Roman"/>
          <w:b/>
          <w:bCs/>
          <w:color w:val="1F3864"/>
          <w:sz w:val="28"/>
          <w:szCs w:val="28"/>
        </w:rPr>
        <w:t xml:space="preserve">6. Conclusion</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This paper presented the design, mathematical foundations, and computational implementation of an interactive SEIR-SEI dengue epidemic calculator in Python. The tool correctly implements the two-host compartmental model from the seminal work of Esteva and Vargas (1998), provides an analytical computation of R₀ via the Next Generation Matrix method, and generates a comprehensive epidemiological output including time-course dynamics, epidemic indicators, scenario comparisons, and sensitivity analyses.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default parameterization produces results consistent with published dengue epidemiology, with R₀ = 3.105 and a high attack rate in the absence of control measures. Scenario analyses confirm that reducing both the biting rate and vector density below critical thresholds can drive R₀ below 1 and effectively prevent epidemic spread.</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The calculator represents a transparent, accessible, and extensible platform for dengue epidemic modeling, suitable for academic instruction, public health education, and preliminary outbreak assessment. Future development directions include incorporation of seasonality, spatial structure, multiple serotypes, stochastic dynamics, and age-stratified contact matrices.</w:t>
      </w:r>
    </w:p>
    <w:p>
      <w:pPr>
        <w:pBdr>
          <w:bottom w:val="single" w:color="AAAAAA" w:sz="4" w:space="1"/>
        </w:pBdr>
        <w:spacing w:after="120" w:before="120"/>
      </w:pPr>
    </w:p>
    <w:p>
      <w:pPr>
        <w:pStyle w:val="Heading1"/>
        <w:spacing w:after="180" w:before="360"/>
      </w:pPr>
      <w:r>
        <w:rPr>
          <w:rFonts w:ascii="Times New Roman" w:cs="Times New Roman" w:eastAsia="Times New Roman" w:hAnsi="Times New Roman"/>
          <w:b/>
          <w:bCs/>
          <w:color w:val="1F3864"/>
          <w:sz w:val="28"/>
          <w:szCs w:val="28"/>
        </w:rPr>
        <w:t xml:space="preserve">References</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Bhatt, S., Gething, P. W., Brady, O. J., Messina, J. P., Farlow, A. W., Moyes, C. L., ... &amp; Hay, S. I. (2013). The global distribution and burden of dengue. Nature, 496(7446), 504–507. https://doi.org/10.1038/nature12060</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Brady, O. J., Golding, N., Pigott, D. M., Kraemer, M. U., Messina, J. P., Reiner, R. C., ... &amp; Hay, S. I. (2014). Global temperature constraints on Aedes aegypti and Ae. albopictus persistence and competence for dengue virus transmission. Parasites &amp; Vectors, 7(1), 338.</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Brady, O. J., Johansson, M. A., Guerra, C. A., Bhatt, S., Golding, N., Pigott, D. M., ... &amp; Hay, S. I. (2013). Modelling adult Aedes aegypti and Aedes albopictus survival at different temperatures in laboratory and field settings. Parasites &amp; Vectors, 6(1), 351.</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Chan, M., &amp; Johansson, M. A. (2012). The incubation periods of dengue viruses. PLOS ONE, 7(11), e50972. https://doi.org/10.1371/journal.pone.0050972</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Chowell, G., Diaz-Dueñas, P., Miller, J. C., Alcazar-Velazco, A., Hyman, J. M., Fenimore, P. W., &amp; Castillo-Chavez, C. (2007). Estimation of the reproduction number of dengue fever from spatial epidemic data. Mathematical Biosciences, 208(2), 571–589.</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Diekmann, O., Heesterbeek, J. A. P., &amp; Roberts, M. G. (2010). The construction of next-generation matrices for compartmental epidemic models. Journal of the Royal Society Interface, 7(47), 873–885.</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Esteva, L., &amp; Vargas, C. (1998). Analysis of a dengue disease transmission model. Mathematical Biosciences, 150(2), 131–151. https://doi.org/10.1016/S0025-5564(98)10003-2</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Gubler, D. J. (1998). Dengue and dengue hemorrhagic fever. Clinical Microbiology Reviews, 11(3), 480–496.</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Harris, C. R., Millman, K. J., van der Walt, S. J., Gommers, R., Virtanen, P., Cournapeau, D., ... &amp; Oliphant, T. E. (2020). Array programming with NumPy. Nature, 585(7825), 357–362.</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Hunter, J. D. (2007). Matplotlib: A 2D graphics environment. Computing in Science &amp; Engineering, 9(3), 90–95.</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Kermack, W. O., &amp; McKendrick, A. G. (1927). A contribution to the mathematical theory of epidemics. Proceedings of the Royal Society of London. Series A, 115(772), 700–721.</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Nishiura, H. (2006). Mathematical and statistical analyses of the spread of dengue. Dengue Bulletin, 30, 51–67.</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Virtanen, P., Gommers, R., Oliphant, T. E., Haberland, M., Reddy, T., Cournapeau, D., ... &amp; SciPy 1.0 Contributors. (2020). SciPy 1.0: Fundamental algorithms for scientific computing in Python. Nature Methods, 17(3), 261–272.</w:t>
      </w:r>
    </w:p>
    <w:p>
      <w:pPr>
        <w:spacing w:after="120" w:before="120" w:line="360"/>
        <w:jc w:val="both"/>
      </w:pPr>
      <w:r>
        <w:rPr>
          <w:rFonts w:ascii="Times New Roman" w:cs="Times New Roman" w:eastAsia="Times New Roman" w:hAnsi="Times New Roman"/>
          <w:b w:val="false"/>
          <w:bCs w:val="false"/>
          <w:i w:val="false"/>
          <w:iCs w:val="false"/>
          <w:color w:val="000000"/>
          <w:sz w:val="24"/>
          <w:szCs w:val="24"/>
        </w:rPr>
        <w:t xml:space="preserve">World Health Organization. (2023). Dengue and severe dengue. WHO Fact Sheet. Retrieved from https://www.who.int/news-room/fact-sheets/detail/dengue-and-severe-dengue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0"/>
        <w:szCs w:val="20"/>
      </w:rPr>
      <w:t xml:space="preserve">Page </w:t>
    </w: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r>
      <w:rPr>
        <w:rFonts w:ascii="Times New Roman" w:cs="Times New Roman" w:eastAsia="Times New Roman" w:hAnsi="Times New Roman"/>
        <w:color w:val="777777"/>
        <w:sz w:val="20"/>
        <w:szCs w:val="20"/>
      </w:rPr>
      <w:t xml:space="preserve"> of </w:t>
    </w:r>
    <w:r>
      <w:rPr>
        <w:rFonts w:ascii="Times New Roman" w:cs="Times New Roman" w:eastAsia="Times New Roman" w:hAnsi="Times New Roman"/>
        <w:color w:val="777777"/>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2026-05-09T19:51:02.528Z</dcterms:created>
  <dcterms:modified xsi:type="dcterms:W3CDTF">2026-05-09T19:51:02.528Z</dcterms:modified>
</cp:coreProperties>
</file>

<file path=docProps/custom.xml><?xml version="1.0" encoding="utf-8"?>
<Properties xmlns="http://schemas.openxmlformats.org/officeDocument/2006/custom-properties" xmlns:vt="http://schemas.openxmlformats.org/officeDocument/2006/docPropsVTypes"/>
</file>