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Neurobiological Foundations of Reading Acceleration: A Naturalistic fNIRS Brain Imaging Study</w:t>
      </w:r>
    </w:p>
    <w:p/>
    <w:p>
      <w:pPr>
        <w:jc w:val="center"/>
      </w:pPr>
      <w:r>
        <w:rPr>
          <w:rFonts w:ascii="Times New Roman" w:hAnsi="Times New Roman"/>
          <w:sz w:val="24"/>
        </w:rPr>
        <w:t>Lucas C. Gemal, Bruno Melo, Raimundo Soares Jr, Joao R. Sato, Roberto Lent</w:t>
      </w:r>
    </w:p>
    <w:p>
      <w:pPr>
        <w:jc w:val="center"/>
      </w:pPr>
      <w:r>
        <w:rPr>
          <w:rFonts w:ascii="Times New Roman" w:hAnsi="Times New Roman"/>
          <w:sz w:val="22"/>
        </w:rPr>
        <w:t>IDOR / UFRJ / UFABC</w:t>
      </w:r>
    </w:p>
    <w:p/>
    <w:p>
      <w:pPr>
        <w:pStyle w:val="Heading1"/>
      </w:pPr>
      <w:r>
        <w:rPr>
          <w:rFonts w:ascii="Times New Roman" w:hAnsi="Times New Roman"/>
          <w:sz w:val="26"/>
        </w:rPr>
        <w:t>METHODS</w:t>
      </w:r>
    </w:p>
    <w:p>
      <w:pPr>
        <w:pStyle w:val="Heading2"/>
      </w:pPr>
      <w:r>
        <w:rPr>
          <w:rFonts w:ascii="Times New Roman" w:hAnsi="Times New Roman"/>
          <w:sz w:val="24"/>
        </w:rPr>
        <w:t>1. Participants</w:t>
      </w:r>
    </w:p>
    <w:p>
      <w:pPr>
        <w:spacing w:after="0"/>
        <w:ind w:firstLine="576"/>
      </w:pPr>
      <w:r>
        <w:rPr>
          <w:rFonts w:ascii="Times New Roman" w:hAnsi="Times New Roman"/>
          <w:sz w:val="24"/>
        </w:rPr>
        <w:t>Thirty-nine children were initially recruited from public primary schools in Rio de Janeiro, Brazil, in grades 3 and 4 (ages 8-9 years). Following neuropsychological screening, 14 children (mean age = 8.85 years, SD = 0.77) met all inclusion criteria: Full-Scale IQ &gt;= 85 on the Wechsler Abbreviated Scale of Intelligence (WASI), average or above-average performance on the School Performance Test (TDE) reading and writing subtests, and no reported neurological or psychiatric disorder. Participants were randomly assigned using a computer-generated sequence to one of two groups: the Accelerated group (n = 7; 1 female; mean age = 9.00 +/- 0.87 years) and the Non-Accelerated control group (n = 7; 3 females; mean age = 8.70 +/- 0.59 years). Written informed consent was obtained from parents or guardians and oral assent from all children.</w:t>
      </w:r>
    </w:p>
    <w:p>
      <w:pPr>
        <w:pStyle w:val="Heading2"/>
      </w:pPr>
      <w:r>
        <w:rPr>
          <w:rFonts w:ascii="Times New Roman" w:hAnsi="Times New Roman"/>
          <w:sz w:val="24"/>
        </w:rPr>
        <w:t>2. Experimental Protocol and Reading Acceleration Software</w:t>
      </w:r>
    </w:p>
    <w:p>
      <w:pPr>
        <w:spacing w:after="0"/>
        <w:ind w:firstLine="576"/>
      </w:pPr>
      <w:r>
        <w:rPr>
          <w:rFonts w:ascii="Times New Roman" w:hAnsi="Times New Roman"/>
          <w:sz w:val="24"/>
        </w:rPr>
        <w:t>ACELETRA(R) is the Brazilian Portuguese adaptation of the Reading Acceleration Programme (RAP), a computer-based intervention employing progressive visual masking to train rapid visual word recognition. On each trial, a sentence appeared on screen and was progressively masked from left to right; participants read the sentence and answered a comprehension question. Presentation speed increased adaptively as performance improved, challenging readers to process text more rapidly while maintaining comprehension accuracy.</w:t>
      </w:r>
    </w:p>
    <w:p>
      <w:pPr>
        <w:spacing w:after="0"/>
        <w:ind w:firstLine="576"/>
      </w:pPr>
      <w:r>
        <w:rPr>
          <w:rFonts w:ascii="Times New Roman" w:hAnsi="Times New Roman"/>
          <w:sz w:val="24"/>
        </w:rPr>
        <w:t>The protocol comprised 10 sessions conducted over approximately three weeks (two sessions per week): one calibration session (four blocks x five stimuli) and nine training sessions (seven blocks x five stimuli each; labelled ac_01 to ac_09). Both groups used ACELETRA(R), but only the Accelerated group received the adaptive speed-increase algorithm; the Non-Accelerated group completed matched-difficulty reading without speed escalation. Concurrent fNIRS data were recorded during all sessions in the naturalistic classroom environment.</w:t>
      </w:r>
    </w:p>
    <w:p>
      <w:pPr>
        <w:pStyle w:val="Heading2"/>
      </w:pPr>
      <w:r>
        <w:rPr>
          <w:rFonts w:ascii="Times New Roman" w:hAnsi="Times New Roman"/>
          <w:sz w:val="24"/>
        </w:rPr>
        <w:t>3. Behavioural Analyses</w:t>
      </w:r>
    </w:p>
    <w:p>
      <w:pPr>
        <w:spacing w:after="0"/>
        <w:ind w:firstLine="576"/>
      </w:pPr>
      <w:r>
        <w:rPr>
          <w:rFonts w:ascii="Times New Roman" w:hAnsi="Times New Roman"/>
          <w:sz w:val="24"/>
        </w:rPr>
        <w:t>The primary behavioural outcome was TimeRm (median reading time per character, ms per character; lower values indicate faster reading). A secondary outcome was reading accuracy (number of correct comprehension responses per session). Longitudinal trajectories were modelled using linear mixed models (LMMs) in Python 3.12 (statsmodels 0.14.6, REML):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TimeRm ~ session * group + (1 | subject)</w:t>
      </w:r>
    </w:p>
    <w:p>
      <w:pPr>
        <w:spacing w:after="0"/>
        <w:ind w:firstLine="576"/>
      </w:pPr>
      <w:r>
        <w:rPr>
          <w:rFonts w:ascii="Times New Roman" w:hAnsi="Times New Roman"/>
          <w:sz w:val="24"/>
        </w:rPr>
        <w:t>where session (0-9) and group (reference: Non-Accelerated) were fixed effects and a random intercept per subject captured between-subject variability. The same structure was applied to Accuracy.</w:t>
      </w:r>
    </w:p>
    <w:p>
      <w:pPr>
        <w:pStyle w:val="Heading2"/>
      </w:pPr>
      <w:r>
        <w:rPr>
          <w:rFonts w:ascii="Times New Roman" w:hAnsi="Times New Roman"/>
          <w:sz w:val="24"/>
        </w:rPr>
        <w:t>4. fNIRS Data Acquisition</w:t>
      </w:r>
    </w:p>
    <w:p>
      <w:pPr>
        <w:spacing w:after="0"/>
        <w:ind w:firstLine="576"/>
      </w:pPr>
      <w:r>
        <w:rPr>
          <w:rFonts w:ascii="Times New Roman" w:hAnsi="Times New Roman"/>
          <w:sz w:val="24"/>
        </w:rPr>
        <w:t>fNIRS data were recorded using a NIRSport2 8-8 Core Unit (Brain Products GmbH; native sampling rate 4.36 Hz; wavelengths 760 and 850 nm). Twenty-five source-detector channel pairs covered the left hemisphere, targeting two ROIs: Frontal (7 channels: S1-D1, S2-D1, S2-D3, S1-D2, S3-D3, S4-D1, S3-D1) and Temporal (9 channels: S8-D7, S8-D4, S7-D7, S7-D4, S7-D6, S6-D4, S5-D5, S5-D6, S5-D4; channel S6-D5 was excluded due to insufficient signal quality). The portable system permitted recording in the naturalistic classroom environment.</w:t>
      </w:r>
    </w:p>
    <w:p>
      <w:pPr>
        <w:pStyle w:val="Heading2"/>
      </w:pPr>
      <w:r>
        <w:rPr>
          <w:rFonts w:ascii="Times New Roman" w:hAnsi="Times New Roman"/>
          <w:sz w:val="24"/>
        </w:rPr>
        <w:t>5. Stimulus Event Reconstruction</w:t>
      </w:r>
    </w:p>
    <w:p>
      <w:pPr>
        <w:spacing w:after="0"/>
        <w:ind w:firstLine="576"/>
      </w:pPr>
      <w:r>
        <w:rPr>
          <w:rFonts w:ascii="Times New Roman" w:hAnsi="Times New Roman"/>
          <w:sz w:val="24"/>
        </w:rPr>
        <w:t>A custom MATLAB script (contagem_nova.m) reconstructed block-level stimulus events from raw trial-level markers. Rest channels (fewest events) defined block boundaries. Block onset = first reading stimulus within the block; duration = last reading offset minus first onset; amplitude = 1 (boxcar). Automated checks verified block counts (4 for calibration; 7 for training) and stimulus counts (5 per block). A single compound stimulus object ("Aceletra") replaced all original channels.</w:t>
      </w:r>
    </w:p>
    <w:p>
      <w:pPr>
        <w:pStyle w:val="Heading2"/>
      </w:pPr>
      <w:r>
        <w:rPr>
          <w:rFonts w:ascii="Times New Roman" w:hAnsi="Times New Roman"/>
          <w:sz w:val="24"/>
        </w:rPr>
        <w:t>6. fNIRS Data Preprocessing</w:t>
      </w:r>
    </w:p>
    <w:p>
      <w:pPr>
        <w:spacing w:after="0"/>
        <w:ind w:firstLine="576"/>
      </w:pPr>
      <w:r>
        <w:rPr>
          <w:rFonts w:ascii="Times New Roman" w:hAnsi="Times New Roman"/>
          <w:sz w:val="24"/>
        </w:rPr>
        <w:t>Preprocessing used the NIRS Toolbox in MATLAB (pre_processamento.m) through seven sequential steps applied to all 140 sessions (14 participants x 10 sessions): (1) resampling to 4 Hz; (2) baseline trimming (preBaseline = 0 s, postBaseline = 10 s); (3) optical density conversion; (4) modified Beer-Lambert law (yielding HbO, HbR, HbT); (5) total haemoglobin calculation; (6) band-pass filtering (0.01-0.10 Hz); and (7) wavelet-based motion artefact correction. First-level GLM estimation used AddShortSepRegressors = 1 to control for superficial physiological noise, yielding 140 SubjStats objects.</w:t>
      </w:r>
    </w:p>
    <w:p>
      <w:pPr>
        <w:pStyle w:val="Heading2"/>
      </w:pPr>
      <w:r>
        <w:rPr>
          <w:rFonts w:ascii="Times New Roman" w:hAnsi="Times New Roman"/>
          <w:sz w:val="24"/>
        </w:rPr>
        <w:t>7. Neural Efficiency Index</w:t>
      </w:r>
    </w:p>
    <w:p>
      <w:pPr>
        <w:spacing w:after="0"/>
        <w:ind w:firstLine="576"/>
      </w:pPr>
      <w:r>
        <w:rPr>
          <w:rFonts w:ascii="Times New Roman" w:hAnsi="Times New Roman"/>
          <w:sz w:val="24"/>
        </w:rPr>
        <w:t>The neural efficiency (NE) index was computed following Curtin and Ayaz (2019). Mean HbO beta per ROI per participant per session was z-scored separately for each ROI (z_beta). TimeRm was z-scored once over the full training sample (z_TimeRm). The NE formula was: NE = (-z_TimeRm - z_beta) / sqrt(2). The negative sign on z_TimeRm ensures that both components increase with better performance (faster reading) and lower activation. Higher NE reflects a more favourable combination of faster reading with lower cortical activation. Calibration-session values provided per-participant baseline covariates (TimeRm_baseline, beta_baseline). NE was computed for training sessions 1-9 (N = 252: 14 subjects x 9 sessions x 2 ROIs). Separate LMMs per ROI (REML, N = 126 each):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NE ~ group * sessao_num + TimeRm_baseline + (1 | subject)</w:t>
      </w:r>
    </w:p>
    <w:p>
      <w:pPr>
        <w:pStyle w:val="Heading2"/>
      </w:pPr>
      <w:r>
        <w:rPr>
          <w:rFonts w:ascii="Times New Roman" w:hAnsi="Times New Roman"/>
          <w:sz w:val="24"/>
        </w:rPr>
        <w:t>8. Cortical Activation (Beta) Analysis</w:t>
      </w:r>
    </w:p>
    <w:p>
      <w:pPr>
        <w:spacing w:after="0"/>
        <w:ind w:firstLine="576"/>
      </w:pPr>
      <w:r>
        <w:rPr>
          <w:rFonts w:ascii="Times New Roman" w:hAnsi="Times New Roman"/>
          <w:sz w:val="24"/>
        </w:rPr>
        <w:t>Group-level activation was modelled via a second-level GLM in MATLAB (MixedEffects.m; formula: beta ~ -1 + group:experiment + (1|subject), robust = 1) and a Python LMM on ROI-aggregated HbO betas (all sessions 0-9, N = 280):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beta ~ group * sessao_num + roi + (1 | subject)    [ML, BFGS]</w:t>
      </w:r>
    </w:p>
    <w:p>
      <w:pPr>
        <w:spacing w:after="0"/>
        <w:ind w:firstLine="576"/>
      </w:pPr>
      <w:r>
        <w:rPr>
          <w:rFonts w:ascii="Times New Roman" w:hAnsi="Times New Roman"/>
          <w:sz w:val="24"/>
        </w:rPr>
        <w:t>The same structure was applied to StO2 as a supplementary analysis. Mann-Whitney U tests compared mean beta per subject (averaged across training sessions 1-9) between groups for each ROI.</w:t>
      </w:r>
    </w:p>
    <w:p>
      <w:pPr>
        <w:pStyle w:val="Heading2"/>
      </w:pPr>
      <w:r>
        <w:rPr>
          <w:rFonts w:ascii="Times New Roman" w:hAnsi="Times New Roman"/>
          <w:sz w:val="24"/>
        </w:rPr>
        <w:t>9. Frontal-Temporal Functional Connectivity</w:t>
      </w:r>
    </w:p>
    <w:p>
      <w:pPr>
        <w:spacing w:after="0"/>
        <w:ind w:firstLine="576"/>
      </w:pPr>
      <w:r>
        <w:rPr>
          <w:rFonts w:ascii="Times New Roman" w:hAnsi="Times New Roman"/>
          <w:sz w:val="24"/>
        </w:rPr>
        <w:t>Inter-regional connectivity used autoregressive Pearson correlation (ar_corr, model order 4xFs) applied per task block (divide_events = true, min_event_duration = 10 s, AddShortSepRegressors = 1). Mean Fisher-z was averaged over 60 frontal x temporal channel pairs per session. Three sessions were excluded (SUBJ_001, SUBJ_005, SUBJ_024 at session 4) due to signal quality, leaving N = 121. LMM (REML, BFGS):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    conexao_inter ~ group * session + conn_baseline + (1 | subject)</w:t>
      </w:r>
    </w:p>
    <w:p>
      <w:pPr>
        <w:pStyle w:val="Heading2"/>
      </w:pPr>
      <w:r>
        <w:rPr>
          <w:rFonts w:ascii="Times New Roman" w:hAnsi="Times New Roman"/>
          <w:sz w:val="24"/>
        </w:rPr>
        <w:t>10. Channel-Level Cortical Activation</w:t>
      </w:r>
    </w:p>
    <w:p>
      <w:pPr>
        <w:spacing w:after="0"/>
        <w:ind w:firstLine="576"/>
      </w:pPr>
      <w:r>
        <w:rPr>
          <w:rFonts w:ascii="Times New Roman" w:hAnsi="Times New Roman"/>
          <w:sz w:val="24"/>
        </w:rPr>
        <w:t>For each of the 15 HbO channels (S4-D1 excluded), a separate LMM was estimated: beta ~ group * sessao_num + (1|subject) [ML, BFGS]. The group x session interaction coefficient was corrected for multiple comparisons using the Benjamini-Hochberg FDR procedure (alpha = 0.05, 15 tests). Anatomical localisation used the 10-10 system.</w:t>
      </w:r>
    </w:p>
    <w:p>
      <w:pPr>
        <w:pStyle w:val="Heading2"/>
      </w:pPr>
      <w:r>
        <w:rPr>
          <w:rFonts w:ascii="Times New Roman" w:hAnsi="Times New Roman"/>
          <w:sz w:val="24"/>
        </w:rPr>
        <w:t>11. Correlation Between HbO Slope and Reading Speed Slope</w:t>
      </w:r>
    </w:p>
    <w:p>
      <w:pPr>
        <w:spacing w:after="0"/>
        <w:ind w:firstLine="576"/>
      </w:pPr>
      <w:r>
        <w:rPr>
          <w:rFonts w:ascii="Times New Roman" w:hAnsi="Times New Roman"/>
          <w:sz w:val="24"/>
        </w:rPr>
        <w:t>For the six FDR-significant channels, individual OLS slopes were computed (HbO beta ~ sessao_num; TimeRm ~ sessao_num; sessions 1-9). Spearman correlations between HbO slope and TimeRm slope were computed per channel across three scopes: all subjects (N = 13; SUBJ_030 excluded as outlier), Accelerated (N = 7), and Non-Accelerated (N = 6). FDR correction (Benjamini-Hochberg) was applied within each scope across the six channel tests.</w:t>
      </w:r>
    </w:p>
    <w:p>
      <w:pPr>
        <w:pStyle w:val="Heading2"/>
      </w:pPr>
      <w:r>
        <w:rPr>
          <w:rFonts w:ascii="Times New Roman" w:hAnsi="Times New Roman"/>
          <w:sz w:val="24"/>
        </w:rPr>
        <w:t>12. General Statistical Considerations</w:t>
      </w:r>
    </w:p>
    <w:p>
      <w:pPr>
        <w:spacing w:after="0"/>
        <w:ind w:firstLine="576"/>
      </w:pPr>
      <w:r>
        <w:rPr>
          <w:rFonts w:ascii="Times New Roman" w:hAnsi="Times New Roman"/>
          <w:sz w:val="24"/>
        </w:rPr>
        <w:t>All LMMs included a random intercept per subject. The reference category for group was nao_acelerado (Non-Accelerated) in all models. REML was used for final parameter estimates; ML was used when model structures required likelihood comparisons. The alpha level was set at .05 (two-tailed) for all tests. Influential observations were identified using Cook's distance &gt; 1 and removed when confirmed as data-quality artefacts. Analyses were conducted in Python 3.12 (statsmodels 0.14.6) and MATLAB with the NIRS Toolbox.</w:t>
      </w:r>
    </w:p>
    <w:p>
      <w:pPr>
        <w:pStyle w:val="Heading1"/>
      </w:pPr>
      <w:r>
        <w:rPr>
          <w:rFonts w:ascii="Times New Roman" w:hAnsi="Times New Roman"/>
          <w:sz w:val="26"/>
        </w:rPr>
        <w:t>RESULTS</w:t>
      </w:r>
    </w:p>
    <w:p>
      <w:pPr>
        <w:pStyle w:val="Heading2"/>
      </w:pPr>
      <w:r>
        <w:rPr>
          <w:rFonts w:ascii="Times New Roman" w:hAnsi="Times New Roman"/>
          <w:sz w:val="24"/>
        </w:rPr>
        <w:t>1. Reading Speed and Accuracy</w:t>
      </w:r>
    </w:p>
    <w:p>
      <w:pPr>
        <w:spacing w:after="0"/>
        <w:ind w:firstLine="576"/>
      </w:pPr>
      <w:r>
        <w:rPr>
          <w:rFonts w:ascii="Times New Roman" w:hAnsi="Times New Roman"/>
          <w:sz w:val="24"/>
        </w:rPr>
        <w:t>TimeRm (ms per character; lower values = faster reading) served as the primary behavioural outcome. Both groups completed all ten sessions. The Accelerated group showed a steeper decline in TimeRm across training sessions relative to the Non-Accelerated group, consistent with the adaptive speed algorithm embedded in ACELETRA(R). Full behavioural LMM results are provided in supplementary materials.</w:t>
      </w:r>
    </w:p>
    <w:p>
      <w:pPr>
        <w:pStyle w:val="Heading2"/>
      </w:pPr>
      <w:r>
        <w:rPr>
          <w:rFonts w:ascii="Times New Roman" w:hAnsi="Times New Roman"/>
          <w:sz w:val="24"/>
        </w:rPr>
        <w:t>2. Neural Efficiency</w:t>
      </w:r>
    </w:p>
    <w:p>
      <w:pPr>
        <w:spacing w:after="0"/>
        <w:ind w:firstLine="576"/>
      </w:pPr>
      <w:r>
        <w:rPr>
          <w:rFonts w:ascii="Times New Roman" w:hAnsi="Times New Roman"/>
          <w:sz w:val="24"/>
        </w:rPr>
        <w:t>For the Frontal ROI (N = 126), no fixed effects reached statistical significance. The group x session interaction was beta = 0.067, SE = 0.050, z = 1.352, p = .176, 95% CI [-0.030, 0.164]. TimeRm_baseline was a significant negative predictor (beta = -0.012, SE = 0.003, z = -4.053, p &lt; .001, 95% CI [-0.018, -0.006]), indicating that participants with faster baseline reading showed lower NE scores during training, consistent with a ceiling effect in high-performing readers.</w:t>
      </w:r>
    </w:p>
    <w:p>
      <w:pPr>
        <w:spacing w:after="0"/>
        <w:ind w:firstLine="576"/>
      </w:pPr>
      <w:r>
        <w:rPr>
          <w:rFonts w:ascii="Times New Roman" w:hAnsi="Times New Roman"/>
          <w:sz w:val="24"/>
        </w:rPr>
        <w:t>For the Temporal ROI (N = 126), the group x session interaction was statistically significant (beta = 0.109, SE = 0.047, z = 2.298, p = .022, 95% CI [0.016, 0.202]), indicating that the Accelerated group showed a significantly steeper increase in temporal NE across training sessions relative to the Non-Accelerated group. TimeRm_baseline was also a significant predictor (beta = -0.010, SE = 0.003, z = -2.907, p = .004, 95% CI [-0.017, -0.003]).</w:t>
      </w:r>
    </w:p>
    <w:p>
      <w:pPr>
        <w:spacing w:after="0"/>
        <w:ind w:firstLine="576"/>
      </w:pPr>
      <w:r>
        <w:rPr>
          <w:rFonts w:ascii="Times New Roman" w:hAnsi="Times New Roman"/>
          <w:sz w:val="24"/>
        </w:rPr>
        <w:t>Mann-Whitney comparisons of mean NE (averaged across training sessions) confirmed significantly higher NE in the Accelerated group in both ROIs: Frontal: U = 46, p = .004, r = -0.878 (large effect); Temporal: U = 47, p = .002, r = -0.918 (large effect).</w:t>
      </w:r>
    </w:p>
    <w:p/>
    <w:p>
      <w:r>
        <w:rPr>
          <w:b/>
        </w:rPr>
        <w:t>Table 1. LMM Results for Neural Efficiency</w:t>
      </w:r>
    </w:p>
    <w:p>
      <w:r>
        <w:rPr>
          <w:b/>
        </w:rPr>
        <w:t>Panel A - Frontal ROI (N = 126)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Beta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z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p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95% CI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Intercept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1.131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0.500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2.263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.024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[0.151, 2.110]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Group (Accelerated)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0.091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0.352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0.258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.796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[-0.598, 0.780]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Session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0.046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0.035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1.297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.194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[-0.023, 0.114]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Group x Session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0.067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0.050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1.352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.176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[-0.030, 0.164]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TimeRm_baseline **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-0.012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0.003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-4.053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&lt;.001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[-0.018, -0.006]</w:t>
            </w:r>
          </w:p>
        </w:tc>
      </w:tr>
    </w:tbl>
    <w:p/>
    <w:p>
      <w:r>
        <w:rPr>
          <w:b/>
        </w:rPr>
        <w:t>Panel B - Temporal ROI (N = 126)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Beta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z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p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95% CI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Intercept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0.906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0.562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1.612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.107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[-0.195, 2.007]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Group (Accelerated)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-0.044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0.371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-0.119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.906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[-0.771, 0.683]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Session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0.027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0.034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0.810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.418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[-0.039, 0.093]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Group x Session *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0.109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0.047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2.298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.022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[0.016, 0.202]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TimeRm_baseline **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-0.010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0.003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-2.907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.004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[-0.017, -0.003]</w:t>
            </w:r>
          </w:p>
        </w:tc>
      </w:tr>
    </w:tbl>
    <w:p>
      <w:r>
        <w:t>* p &lt; .05; ** p &lt; .001. REML estimation. Reference group = Non-Accelerated.</w:t>
      </w:r>
    </w:p>
    <w:p/>
    <w:p>
      <w:pPr>
        <w:pStyle w:val="Heading2"/>
      </w:pPr>
      <w:r>
        <w:rPr>
          <w:rFonts w:ascii="Times New Roman" w:hAnsi="Times New Roman"/>
          <w:sz w:val="24"/>
        </w:rPr>
        <w:t>3. Cortical Activation (Beta)</w:t>
      </w:r>
    </w:p>
    <w:p>
      <w:pPr>
        <w:spacing w:after="0"/>
        <w:ind w:firstLine="576"/>
      </w:pPr>
      <w:r>
        <w:rPr>
          <w:rFonts w:ascii="Times New Roman" w:hAnsi="Times New Roman"/>
          <w:sz w:val="24"/>
        </w:rPr>
        <w:t>The HbO LMM (N = 280) yielded no statistically significant fixed effects. The group x session interaction was beta = -0.118, SE = 0.115, z = -1.034, p = .301, 95% CI [-0.343, 0.106], indicating no differential ROI-level HbO activation trajectory between groups across training. Mann-Whitney tests on mean HbO beta confirmed the absence of group differences: Frontal U = 13, p = .165, r = 0.469; Temporal U = 16, p = .318, r = 0.347. The StO2 supplementary LMM also showed no significant effects (group x session beta = -0.017, p = .788).</w:t>
      </w:r>
    </w:p>
    <w:p/>
    <w:p>
      <w:r>
        <w:rPr>
          <w:b/>
        </w:rPr>
        <w:t>Table 2. LMM Results - HbO Cortical Activation (N = 280)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Beta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z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p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95% CI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Intercept (Non-Acc., Frontal, Session 0)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-0.318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0.517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-0.615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.539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[-1.331, 0.695]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Group (Accelerated)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-0.126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0.693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-0.181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.856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[-1.484, 1.233]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ROI (Temporal vs Frontal)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0.463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0.329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1.408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.159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[-0.182, 1.108]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Session Progression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0.036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0.081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0.443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.658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[-0.123, 0.195]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Group x Session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-0.118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0.115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-1.034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.301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[-0.343, 0.106]</w:t>
            </w:r>
          </w:p>
        </w:tc>
      </w:tr>
    </w:tbl>
    <w:p>
      <w:r>
        <w:t>ML; BFGS; Reference: Non-Accelerated, Frontal, Session 0.</w:t>
      </w:r>
    </w:p>
    <w:p/>
    <w:p>
      <w:pPr>
        <w:pStyle w:val="Heading2"/>
      </w:pPr>
      <w:r>
        <w:rPr>
          <w:rFonts w:ascii="Times New Roman" w:hAnsi="Times New Roman"/>
          <w:sz w:val="24"/>
        </w:rPr>
        <w:t>4. Frontal-Temporal Functional Connectivity</w:t>
      </w:r>
    </w:p>
    <w:p>
      <w:pPr>
        <w:spacing w:after="0"/>
        <w:ind w:firstLine="576"/>
      </w:pPr>
      <w:r>
        <w:rPr>
          <w:rFonts w:ascii="Times New Roman" w:hAnsi="Times New Roman"/>
          <w:sz w:val="24"/>
        </w:rPr>
        <w:t>Mean inter-ROI connectivity (back-transformed to r for descriptive purposes): Accelerated group M = 0.296 (SD = 0.190), Non-Accelerated group M = 0.255 (SD = 0.149). The LMM (N = 121) revealed no significant group x session interaction (beta = 0.002, SE = 0.013, z = 0.178, p = .859, 95% CI [-0.024, 0.028]). No other fixed effects reached significance. Mann-Whitney comparison of mean per-subject connectivity across training sessions found no group difference (U = 33, p = .318, r = -0.347, medium effect, n.s.).</w:t>
      </w:r>
    </w:p>
    <w:p/>
    <w:p>
      <w:r>
        <w:rPr>
          <w:b/>
        </w:rPr>
        <w:t>Table 3. LMM Results - Frontal-Temporal Connectivity (HbO Fisher-z, N = 121)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Beta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z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p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95% CI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Intercept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0.190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0.086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2.208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.027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[0.021, 0.358]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Group (Accelerated)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0.039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0.112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0.345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.730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[-0.182, 0.259]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Session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0.016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0.009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1.742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.082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[-0.002, 0.034]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Group x Session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0.002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0.013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0.178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.859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[-0.024, 0.028]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Connectivity Baseline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0.031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0.216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0.142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.887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[-0.393, 0.455]</w:t>
            </w:r>
          </w:p>
        </w:tc>
      </w:tr>
    </w:tbl>
    <w:p>
      <w:r>
        <w:t>REML; BFGS; 3 obs. excluded (SUBJ_001, SUBJ_005, SUBJ_024 at session 4).</w:t>
      </w:r>
    </w:p>
    <w:p/>
    <w:p>
      <w:pPr>
        <w:pStyle w:val="Heading2"/>
      </w:pPr>
      <w:r>
        <w:rPr>
          <w:rFonts w:ascii="Times New Roman" w:hAnsi="Times New Roman"/>
          <w:sz w:val="24"/>
        </w:rPr>
        <w:t>5. Channel-Level Cortical Activation</w:t>
      </w:r>
    </w:p>
    <w:p>
      <w:pPr>
        <w:spacing w:after="0"/>
        <w:ind w:firstLine="576"/>
      </w:pPr>
      <w:r>
        <w:rPr>
          <w:rFonts w:ascii="Times New Roman" w:hAnsi="Times New Roman"/>
          <w:sz w:val="24"/>
        </w:rPr>
        <w:t>Six of the 15 channels tested reached FDR significance (q &lt; .05) for the group x session interaction. In the Frontal ROI, one channel was significant: S3-D1 (L Middle Frontal Gyrus, 66%; 10-10: AF3-F5), beta = -0.296, p = .003, q = .014, 95% CI [-0.490, -0.103]. The negative coefficient indicates that the Accelerated group showed a steeper session-by-session decline in HbO activation at this channel relative to the Non-Accelerated group.</w:t>
      </w:r>
    </w:p>
    <w:p>
      <w:pPr>
        <w:spacing w:after="0"/>
        <w:ind w:firstLine="576"/>
      </w:pPr>
      <w:r>
        <w:rPr>
          <w:rFonts w:ascii="Times New Roman" w:hAnsi="Times New Roman"/>
          <w:sz w:val="24"/>
        </w:rPr>
        <w:t>In the Temporal ROI, five channels were FDR-significant. Four showed negative interactions (Accelerated group declining faster): S5-D4 (L Middle Temporal Gyrus, 41%; P7-TP7), beta = -0.297, p = .002, q = .014, 95% CI [-0.481, -0.112]; S7-D7 (L Middle Temporal Gyrus, 55%; T7-C5), beta = -0.298, p = .002, q = .014, 95% CI [-0.490, -0.106]; S5-D6 (L Middle Temporal Gyrus, 47%; P7-P5), beta = -0.318, p = .006, q = .021, 95% CI [-0.547, -0.090]; and S7-D4 (L Middle Temporal Gyrus, 72%; CP5-TP7), beta = -0.197, p = .009, q = .023, 95% CI [-0.346, -0.049]. One channel showed a positive interaction: S5-D5 (L Inferior Temporal Gyrus, 29%; P7-P9), beta = +0.215, p = .007, q = .021, 95% CI [0.059, 0.372], indicating a relative increase in HbO in the Accelerated group at this location.</w:t>
      </w:r>
    </w:p>
    <w:p/>
    <w:p>
      <w:r>
        <w:rPr>
          <w:b/>
        </w:rPr>
        <w:t>Table 4. Channel-Level LMM - FDR-Significant Channels (HbO)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20"/>
              </w:rPr>
              <w:t>Channel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10-10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Region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ROI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Beta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p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q(FDR)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95% CI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S3-D1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AF3-F5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L Middle Frontal Gyrus (66%)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Frontal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-0.296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.003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.014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[-0.490, -0.103]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S5-D4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P7-TP7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L Middle Temporal Gyrus (41%)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Temporal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-0.297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.002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.014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[-0.481, -0.112]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S7-D7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T7-C5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L Middle Temporal Gyrus (55%)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Temporal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-0.298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.002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.014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[-0.490, -0.106]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S5-D6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P7-P5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L Middle Temporal Gyrus (47%)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Temporal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-0.318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.006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.021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[-0.547, -0.090]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S5-D5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P7-P9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L Inferior Temporal Gyrus (29%)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Temporal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+0.215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.007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.021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[0.059, 0.372]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S7-D4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CP5-TP7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L Middle Temporal Gyrus (72%)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Temporal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-0.197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.009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.023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[-0.346, -0.049]</w:t>
            </w:r>
          </w:p>
        </w:tc>
      </w:tr>
    </w:tbl>
    <w:p>
      <w:r>
        <w:t>FDR: Benjamini-Hochberg; 15 tests; ML estimation; BFGS optimiser.</w:t>
      </w:r>
    </w:p>
    <w:p/>
    <w:p>
      <w:pPr>
        <w:pStyle w:val="Heading2"/>
      </w:pPr>
      <w:r>
        <w:rPr>
          <w:rFonts w:ascii="Times New Roman" w:hAnsi="Times New Roman"/>
          <w:sz w:val="24"/>
        </w:rPr>
        <w:t>6. Correlation Between HbO Slope and Reading Speed Slope</w:t>
      </w:r>
    </w:p>
    <w:p>
      <w:pPr>
        <w:spacing w:after="0"/>
        <w:ind w:firstLine="576"/>
      </w:pPr>
      <w:r>
        <w:rPr>
          <w:rFonts w:ascii="Times New Roman" w:hAnsi="Times New Roman"/>
          <w:sz w:val="24"/>
        </w:rPr>
        <w:t>Spearman correlations between individual HbO slopes and TimeRm slopes across the six FDR-significant channels did not reach significance after FDR correction in any scope. In the full-sample analysis (N = 13), Spearman rho ranged from -0.456 (S7-D4, p = .117) to -0.148 (S5-D4, p = .629); all q &gt; .62. In the Non-Accelerated subgroup (N = 6), S7-D4 showed a nominally significant correlation (rho = -0.886, p = .019) that did not survive FDR correction (q = .113). All Accelerated subgroup correlations were non-significant (all p &gt; .29).</w:t>
      </w:r>
    </w:p>
    <w:p/>
    <w:p>
      <w:r>
        <w:rPr>
          <w:b/>
        </w:rPr>
        <w:t>Table 5. Individual Neural Efficiency Slopes (NE ~ session, OLS)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20"/>
              </w:rPr>
              <w:t>Subject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Group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ROI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Slope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p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R2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Sig.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SUBJ_002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Accelerated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Frontal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0.193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0.016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0.590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p&lt;.05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SUBJ_002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Accelerated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Temporal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0.106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0.085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0.364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p&lt;.10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SUBJ_004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Accelerated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Frontal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0.196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0.229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0.199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n.s.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SUBJ_004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Accelerated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Temporal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0.257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0.001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0.811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p&lt;.05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SUBJ_006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Accelerated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Frontal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-0.012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0.873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0.004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n.s.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SUBJ_006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Accelerated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Temporal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-0.003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0.979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n.s.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SUBJ_007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Accelerated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Frontal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0.107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0.656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0.030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n.s.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SUBJ_007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Accelerated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Temporal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0.232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0.034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0.497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p&lt;.05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SUBJ_027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Accelerated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Frontal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0.053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0.389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0.108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n.s.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SUBJ_027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Accelerated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Temporal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0.198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0.002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0.755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p&lt;.05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SUBJ_028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Accelerated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Frontal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0.110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0.061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0.415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p&lt;.10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SUBJ_028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Accelerated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Temporal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0.173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0.108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0.327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n.s.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SUBJ_034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Accelerated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Frontal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0.142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0.053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0.437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p&lt;.10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SUBJ_034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Accelerated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Temporal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-0.010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0.949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0.001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n.s.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SUBJ_001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Non-Accelerated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Frontal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0.068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0.354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0.123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n.s.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SUBJ_001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Non-Accelerated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Temporal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0.005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0.920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0.002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n.s.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SUBJ_005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Non-Accelerated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Frontal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0.003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0.945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0.001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n.s.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SUBJ_005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Non-Accelerated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Temporal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0.025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0.738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0.017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n.s.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SUBJ_018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Non-Accelerated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Frontal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0.078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0.138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0.286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n.s.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SUBJ_018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Non-Accelerated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Temporal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0.001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0.993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n.s.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SUBJ_024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Non-Accelerated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Frontal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0.115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0.204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0.219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n.s.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SUBJ_024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Non-Accelerated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Temporal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0.169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0.001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0.801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p&lt;.05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SUBJ_030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Non-Accelerated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Frontal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-0.116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0.124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0.303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n.s.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SUBJ_030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Non-Accelerated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Temporal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-0.130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0.219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0.207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n.s.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SUBJ_035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Non-Accelerated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Frontal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-0.040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0.515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0.063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n.s.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SUBJ_035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Non-Accelerated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Temporal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-0.049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0.664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0.029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n.s.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SUBJ_037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Non-Accelerated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Frontal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0.210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0.017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0.582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p&lt;.05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SUBJ_037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Non-Accelerated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Temporal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0.169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0.023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0.546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p&lt;.05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