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6"/>
        </w:rPr>
        <w:t>Methods</w:t>
      </w:r>
    </w:p>
    <w:p>
      <w:pPr>
        <w:pStyle w:val="Heading2"/>
      </w:pPr>
      <w:r>
        <w:rPr>
          <w:rFonts w:ascii="Times New Roman" w:hAnsi="Times New Roman"/>
          <w:sz w:val="24"/>
        </w:rPr>
        <w:t>Second-Level GLM (MATLAB)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Group-level inference on first-level GLM beta coefficients was performed in MATLAB using nirs.modules.MixedEffects (MixedEffects.m). The second-level model was:</w:t>
      </w:r>
    </w:p>
    <w:p>
      <w:pPr>
        <w:spacing w:after="0" w:before="0"/>
      </w:pPr>
      <w:r>
        <w:rPr>
          <w:rFonts w:ascii="Times New Roman" w:hAnsi="Times New Roman"/>
          <w:sz w:val="24"/>
        </w:rPr>
        <w:t xml:space="preserve">    beta ~ -1 + group:experiment + (1 | subject)    [robust = 1]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This intercept-free formulation estimated one beta per group-by-session combination (calibracao, ac_01 ... ac_09) with a random subject intercept and robust estimation (robust = 1) to reduce leverage of outlying session estimates. The resulting GroupStats object provided group-level beta estimates for each channel, chromophore, and session.</w:t>
      </w:r>
    </w:p>
    <w:p>
      <w:pPr>
        <w:pStyle w:val="Heading2"/>
      </w:pPr>
      <w:r>
        <w:rPr>
          <w:rFonts w:ascii="Times New Roman" w:hAnsi="Times New Roman"/>
          <w:sz w:val="24"/>
        </w:rPr>
        <w:t>Cortical Activation LMM (Python)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To model the longitudinal trajectory of cortical activation, a single LMM was estimated in Python 3.12 (statsmodels 0.14.6) on HbO beta coefficients aggregated by participant, session, and ROI. The model formula was:</w:t>
      </w:r>
    </w:p>
    <w:p>
      <w:pPr>
        <w:spacing w:after="0" w:before="0"/>
      </w:pPr>
      <w:r>
        <w:rPr>
          <w:rFonts w:ascii="Times New Roman" w:hAnsi="Times New Roman"/>
          <w:sz w:val="24"/>
        </w:rPr>
        <w:t xml:space="preserve">    beta ~ group * sessao_num + roi + (1 | subject)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where group (reference: nao_acelerado), sessao_num (integer, 0-9; session 0 = calibration, serving as the intercept anchor), and ROI (Frontal vs Temporal; reference: Frontal) were fixed effects, and a random intercept per subject was included. Models were estimated using maximum likelihood (ML) with the BFGS optimiser (N = 280 observations: 14 subjects x 10 sessions x 2 ROIs). The same model structure was applied independently to HbO (primary chromophore) and oxygen saturation (StO2, secondary analysis). Mann-Whitney U tests compared mean beta (averaged across training sessions 1-9) between groups for each ROI.</w:t>
      </w:r>
    </w:p>
    <w:p>
      <w:pPr>
        <w:pStyle w:val="Heading1"/>
      </w:pPr>
      <w:r>
        <w:rPr>
          <w:rFonts w:ascii="Times New Roman" w:hAnsi="Times New Roman"/>
          <w:sz w:val="26"/>
        </w:rPr>
        <w:t>Results</w:t>
      </w:r>
    </w:p>
    <w:p>
      <w:pPr>
        <w:pStyle w:val="Heading2"/>
      </w:pPr>
      <w:r>
        <w:rPr>
          <w:rFonts w:ascii="Times New Roman" w:hAnsi="Times New Roman"/>
          <w:sz w:val="24"/>
        </w:rPr>
        <w:t>Cortical Activation (HbO) — LMM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The LMM for HbO cortical activation yielded no statistically significant fixed effects (Table 3). The intercept (Non-Accelerated, Frontal, session 0) was beta = -0.318, SE = 0.517, z = -0.615, p = .539, 95% CI [-1.331, 0.695]. The group main effect was beta = -0.126, SE = 0.693, z = -0.181, p = .856, 95% CI [-1.484, 1.233]. The ROI effect (Temporal vs Frontal) was beta = 0.463, SE = 0.329, z = 1.408, p = .159, 95% CI [-0.182, 1.108]. Session progression was beta = 0.036, SE = 0.081, z = 0.443, p = .658, 95% CI [-0.123, 0.195]. The training-induced group x session interaction was beta = -0.118, SE = 0.115, z = -1.034, p = .301, 95% CI [-0.343, 0.106], indicating no significant differential HbO activation trajectory between groups. Mann-Whitney tests on mean HbO beta confirmed the absence of between-group differences: Frontal, U = 13, p = .165, r = 0.469; Temporal, U = 16, p = .318, r = 0.347.</w:t>
      </w:r>
    </w:p>
    <w:p>
      <w:pPr>
        <w:pStyle w:val="Heading2"/>
      </w:pPr>
      <w:r>
        <w:rPr>
          <w:rFonts w:ascii="Times New Roman" w:hAnsi="Times New Roman"/>
          <w:sz w:val="24"/>
        </w:rPr>
        <w:t>Table 3. LMM Results — Cortical Activation (HbO, N = 280)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Beta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20"/>
              </w:rPr>
              <w:t>95% CI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Intercept (Non-Acc., Frontal, Session 0)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-0.318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0.517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-0.615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.539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[-1.331, 0.695]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Group (Accelerated)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-0.126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0.693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-0.181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.856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[-1.484, 1.233]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ROI (Temporal vs Frontal)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0.463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0.329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1.408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.159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[-0.182, 1.108]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Session Progression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0.081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0.443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.658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[-0.123, 0.195]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Group x Session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-0.118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0.115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-1.034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.301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20"/>
              </w:rPr>
              <w:t>[-0.343, 0.106]</w:t>
            </w:r>
          </w:p>
        </w:tc>
      </w:tr>
    </w:tbl>
    <w:p>
      <w:r>
        <w:t>ML estimation; BFGS optimiser; Reference: Non-Accelerated, Frontal, Session 0.</w:t>
      </w:r>
    </w:p>
    <w:p>
      <w:pPr>
        <w:pStyle w:val="Heading2"/>
      </w:pPr>
      <w:r>
        <w:rPr>
          <w:rFonts w:ascii="Times New Roman" w:hAnsi="Times New Roman"/>
          <w:sz w:val="24"/>
        </w:rPr>
        <w:t>Cortical Activation (StO2) — Supplementary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The StO2 LMM similarly yielded no significant effects. The group x session interaction was beta = -0.017, SE = 0.064, z = -0.269, p = .788, 95% CI [-0.143, 0.109]. All other fixed effects were non-significant (all p &gt; .34). Mann-Whitney: Frontal U = 18, p = .456, r = 0.265; Temporal U = 14, p = .209, r = 0.429. These results replicate the HbO findings and confirm the absence of differential group-level activation trajectories at the ROI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