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sz w:val="26"/>
        </w:rPr>
        <w:t>Methods</w:t>
      </w:r>
    </w:p>
    <w:p>
      <w:pPr>
        <w:pStyle w:val="Heading2"/>
      </w:pPr>
      <w:r>
        <w:rPr>
          <w:rFonts w:ascii="Times New Roman" w:hAnsi="Times New Roman"/>
          <w:sz w:val="24"/>
        </w:rPr>
        <w:t>Channel-Level Cortical Activation</w:t>
      </w:r>
    </w:p>
    <w:p>
      <w:pPr>
        <w:spacing w:after="0" w:before="0"/>
        <w:ind w:firstLine="576"/>
      </w:pPr>
      <w:r>
        <w:rPr>
          <w:rFonts w:ascii="Times New Roman" w:hAnsi="Times New Roman"/>
          <w:sz w:val="24"/>
        </w:rPr>
        <w:t>To identify specific channels driving group differences in cortical activation, a channel-level LMM was estimated for each of the 15 HbO channels included in the ROI analyses (channel S4-D1 was excluded due to an insufficient number of subjects with valid data). For each channel, the model was:</w:t>
      </w:r>
    </w:p>
    <w:p>
      <w:pPr>
        <w:spacing w:after="0" w:before="0"/>
      </w:pPr>
      <w:r>
        <w:rPr>
          <w:rFonts w:ascii="Times New Roman" w:hAnsi="Times New Roman"/>
          <w:sz w:val="24"/>
        </w:rPr>
        <w:t xml:space="preserve">    beta ~ group * sessao_num + (1 | subject)</w:t>
      </w:r>
    </w:p>
    <w:p>
      <w:pPr>
        <w:spacing w:after="0" w:before="0"/>
        <w:ind w:firstLine="576"/>
      </w:pPr>
      <w:r>
        <w:rPr>
          <w:rFonts w:ascii="Times New Roman" w:hAnsi="Times New Roman"/>
          <w:sz w:val="24"/>
        </w:rPr>
        <w:t>where group (reference: nao_acelerado) and sessao_num (integer, 0-9) were fixed effects, and a random intercept per subject was included. Models were estimated using maximum likelihood (ML) with the BFGS optimiser. The critical term was the group x session interaction coefficient, representing the differential rate of HbO change per session in the Accelerated relative to the Non-Accelerated group. Multiple comparison correction used the Benjamini-Hochberg false discovery rate (FDR) procedure (alpha = 0.05) across all 15 channel-level tests. Anatomical localisation followed the standard 10-10 electrode system with probabilistic region assignments.</w:t>
      </w:r>
    </w:p>
    <w:p>
      <w:pPr>
        <w:pStyle w:val="Heading2"/>
      </w:pPr>
      <w:r>
        <w:rPr>
          <w:rFonts w:ascii="Times New Roman" w:hAnsi="Times New Roman"/>
          <w:sz w:val="24"/>
        </w:rPr>
        <w:t>Correlation Between HbO Slope and Reading Speed Slope</w:t>
      </w:r>
    </w:p>
    <w:p>
      <w:pPr>
        <w:spacing w:after="0" w:before="0"/>
        <w:ind w:firstLine="576"/>
      </w:pPr>
      <w:r>
        <w:rPr>
          <w:rFonts w:ascii="Times New Roman" w:hAnsi="Times New Roman"/>
          <w:sz w:val="24"/>
        </w:rPr>
        <w:t>For the six FDR-significant channels, individual HbO slopes were computed as the OLS regression coefficient of beta ~ sessao_num per participant per channel (training sessions 1-9). Individual reading speed slopes were computed as the OLS coefficient of TimeRm ~ sessao_num per participant. Spearman correlations were computed between HbO slope and TimeRm slope for each channel across three scopes: all subjects (N = 13; SUBJ_030 excluded as a previously identified outlier), Accelerated only (N = 7), and Non-Accelerated only (N = 6). FDR correction (Benjamini-Hochberg) was applied within each scope across the six channel tests.</w:t>
      </w:r>
    </w:p>
    <w:p>
      <w:pPr>
        <w:pStyle w:val="Heading1"/>
      </w:pPr>
      <w:r>
        <w:rPr>
          <w:rFonts w:ascii="Times New Roman" w:hAnsi="Times New Roman"/>
          <w:sz w:val="26"/>
        </w:rPr>
        <w:t>Results</w:t>
      </w:r>
    </w:p>
    <w:p>
      <w:pPr>
        <w:pStyle w:val="Heading2"/>
      </w:pPr>
      <w:r>
        <w:rPr>
          <w:rFonts w:ascii="Times New Roman" w:hAnsi="Times New Roman"/>
          <w:sz w:val="24"/>
        </w:rPr>
        <w:t>Channel-Level Cortical Activation</w:t>
      </w:r>
    </w:p>
    <w:p>
      <w:pPr>
        <w:spacing w:after="0" w:before="0"/>
        <w:ind w:firstLine="576"/>
      </w:pPr>
      <w:r>
        <w:rPr>
          <w:rFonts w:ascii="Times New Roman" w:hAnsi="Times New Roman"/>
          <w:sz w:val="24"/>
        </w:rPr>
        <w:t>Six of the 15 channels tested reached FDR significance (q &lt; .05) for the group x session interaction (Table 5). In the Frontal ROI, one channel was significant: S3-D1 (L Middle Frontal Gyrus, 66%; 10-10: AF3-F5), beta = -0.296, p = .003, q = .014, 95% CI [-0.490, -0.103]. The negative coefficient indicates that the Accelerated group showed a steeper decline in HbO activation per session relative to the Non-Accelerated group.</w:t>
      </w:r>
    </w:p>
    <w:p>
      <w:pPr>
        <w:spacing w:after="0" w:before="0"/>
        <w:ind w:firstLine="576"/>
      </w:pPr>
      <w:r>
        <w:rPr>
          <w:rFonts w:ascii="Times New Roman" w:hAnsi="Times New Roman"/>
          <w:sz w:val="24"/>
        </w:rPr>
        <w:t>In the Temporal ROI, five channels were FDR-significant. Four showed negative interaction coefficients (steeper HbO decline in the Accelerated group): S5-D4 (L Middle Temporal Gyrus, 41%; P7-TP7), beta = -0.297, p = .002, q = .014, 95% CI [-0.481, -0.112]; S7-D7 (L Middle Temporal Gyrus, 55%; T7-C5), beta = -0.298, p = .002, q = .014, 95% CI [-0.490, -0.106]; S5-D6 (L Middle Temporal Gyrus, 47%; P7-P5), beta = -0.318, p = .006, q = .021, 95% CI [-0.547, -0.090]; and S7-D4 (L Middle Temporal Gyrus, 72%; CP5-TP7), beta = -0.197, p = .009, q = .023, 95% CI [-0.346, -0.049]. One channel showed a positive interaction: S5-D5 (L Inferior Temporal Gyrus, 29%; P7-P9), beta = +0.215, p = .007, q = .021, 95% CI [0.059, 0.372].</w:t>
      </w:r>
    </w:p>
    <w:p>
      <w:pPr>
        <w:pStyle w:val="Heading2"/>
      </w:pPr>
      <w:r>
        <w:rPr>
          <w:rFonts w:ascii="Times New Roman" w:hAnsi="Times New Roman"/>
          <w:sz w:val="24"/>
        </w:rPr>
        <w:t>Table 5. Channel-Level LMM — FDR-Significant Channels (HbO, Group x Session)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20"/>
              </w:rPr>
              <w:t>Channel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20"/>
              </w:rPr>
              <w:t>10-10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20"/>
              </w:rPr>
              <w:t>Region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20"/>
              </w:rPr>
              <w:t>ROI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20"/>
              </w:rPr>
              <w:t>Beta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20"/>
              </w:rPr>
              <w:t>p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20"/>
              </w:rPr>
              <w:t>q(FDR)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20"/>
              </w:rPr>
              <w:t>95% CI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S3-D1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AF3-F5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L Middle Frontal Gyrus (66%)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Frontal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-0.296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.003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.014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[-0.490, -0.103]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S5-D4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P7-TP7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L Middle Temporal Gyrus (41%)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Temporal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-0.297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.002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.014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[-0.481, -0.112]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S7-D7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T7-C5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L Middle Temporal Gyrus (55%)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Temporal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-0.298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.002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.014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[-0.490, -0.106]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S5-D6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P7-P5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L Middle Temporal Gyrus (47%)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Temporal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-0.318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.006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.021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[-0.547, -0.090]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S5-D5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P7-P9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L Inferior Temporal Gyrus (29%)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Temporal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+0.215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.007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.021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[0.059, 0.372]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S7-D4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CP5-TP7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L Middle Temporal Gyrus (72%)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Temporal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-0.197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.009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.023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[-0.346, -0.049]</w:t>
            </w:r>
          </w:p>
        </w:tc>
      </w:tr>
    </w:tbl>
    <w:p>
      <w:r>
        <w:t>FDR: Benjamini-Hochberg; 15 tests; ML estimation; BFGS.</w:t>
      </w:r>
    </w:p>
    <w:p>
      <w:pPr>
        <w:pStyle w:val="Heading2"/>
      </w:pPr>
      <w:r>
        <w:rPr>
          <w:rFonts w:ascii="Times New Roman" w:hAnsi="Times New Roman"/>
          <w:sz w:val="24"/>
        </w:rPr>
        <w:t>Correlation Between HbO Slope and Reading Speed Slope</w:t>
      </w:r>
    </w:p>
    <w:p>
      <w:pPr>
        <w:spacing w:after="0" w:before="0"/>
        <w:ind w:firstLine="576"/>
      </w:pPr>
      <w:r>
        <w:rPr>
          <w:rFonts w:ascii="Times New Roman" w:hAnsi="Times New Roman"/>
          <w:sz w:val="24"/>
        </w:rPr>
        <w:t>Spearman correlations between individual HbO slopes and TimeRm slopes were computed for each of the six FDR-significant channels. No correlation reached significance after FDR correction in any scope. In the full-sample analysis (N = 13), rho values ranged from -0.456 (S7-D4, p = .117) to -0.148 (S5-D4, p = .629). In the Non-Accelerated subgroup (N = 6), S7-D4 showed a nominally significant negative correlation (rho = -0.886, p = .019), which did not survive FDR correction (q = .113). All Accelerated subgroup correlations were non-significant (all p &gt; .29).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