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26"/>
        </w:rPr>
        <w:t>Methods</w:t>
      </w:r>
    </w:p>
    <w:p>
      <w:pPr>
        <w:pStyle w:val="Heading2"/>
      </w:pPr>
      <w:r>
        <w:rPr>
          <w:rFonts w:ascii="Times New Roman" w:hAnsi="Times New Roman"/>
          <w:sz w:val="24"/>
        </w:rPr>
        <w:t>Frontal-Temporal Functional Connectivity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Inter-regional functional connectivity between the left frontal and left temporal cortices was assessed using autoregressive Pearson correlation (ar_corr) as implemented in the NIRS Toolbox (conectividade_funcional.m). Connectivity was computed separately for each task block within each session (divide_events = true, min_event_duration = 10 s), with short-separation regressors included to reduce physiological noise (AddShortSepRegressors = 1). The correlation function used an autoregressive model order equal to four times the sampling frequency (ar_corr(data, "4xFs", true)), yielding Pearson r values, Fisher-z transformations (Z = arctanh(r)), and associated p and q (FDR-corrected) statistics for all channel pairs.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For inter-ROI connectivity analyses, the ROI definitions were: Frontal (6 channels: S1-D1, S2-D1, S2-D3, S1-D2, S3-D3, S3-D1) and Temporal (10 channels: S8-D7, S8-D4, S7-D7, S7-D4, S7-D6, S6-D5, S6-D4, S5-D5, S5-D6, S5-D4), yielding 6 x 10 = 60 inter-ROI channel pairs per session. Mean inter-ROI connectivity (conexao_inter) was computed as the average Fisher-z value across all 60 pairs for each participant-session combination.</w:t>
      </w:r>
    </w:p>
    <w:p>
      <w:pPr>
        <w:pStyle w:val="Heading2"/>
      </w:pPr>
      <w:r>
        <w:rPr>
          <w:rFonts w:ascii="Times New Roman" w:hAnsi="Times New Roman"/>
          <w:sz w:val="24"/>
        </w:rPr>
        <w:t>Connectivity LMM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A LMM was estimated to test for differential changes in frontal-temporal connectivity across training sessions. Calibration session (session 0) connectivity was used as a per-participant covariate (conn_baseline) rather than a modelled time point. Three participant-session observations were excluded due to poor signal quality (SUBJ_001, SUBJ_005, and SUBJ_024 at session 4), leaving N = 121 observations. The model formula was:</w:t>
      </w:r>
    </w:p>
    <w:p>
      <w:pPr>
        <w:spacing w:after="0" w:before="0"/>
      </w:pPr>
      <w:r>
        <w:rPr>
          <w:rFonts w:ascii="Times New Roman" w:hAnsi="Times New Roman"/>
          <w:sz w:val="24"/>
        </w:rPr>
        <w:t xml:space="preserve">    conexao_inter ~ group * session + conn_baseline + (1 | subject)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Model estimation used REML with the BFGS optimiser. The group x session interaction term was the critical test of whether the Accelerated group showed a steeper increase in frontal-temporal connectivity across training.</w:t>
      </w:r>
    </w:p>
    <w:p>
      <w:pPr>
        <w:pStyle w:val="Heading1"/>
      </w:pPr>
      <w:r>
        <w:rPr>
          <w:rFonts w:ascii="Times New Roman" w:hAnsi="Times New Roman"/>
          <w:sz w:val="26"/>
        </w:rPr>
        <w:t>Results</w:t>
      </w:r>
    </w:p>
    <w:p>
      <w:pPr>
        <w:pStyle w:val="Heading2"/>
      </w:pPr>
      <w:r>
        <w:rPr>
          <w:rFonts w:ascii="Times New Roman" w:hAnsi="Times New Roman"/>
          <w:sz w:val="24"/>
        </w:rPr>
        <w:t>Frontal-Temporal Functional Connectivity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Mean inter-ROI connectivity (Fisher-z, back-transformed to r for description) across training sessions was broadly comparable between groups: Accelerated M = 0.296 (SD = 0.190) and Non-Accelerated M = 0.255 (SD = 0.149). The LMM revealed no significant group x session interaction (beta = 0.002, SE = 0.013, z = 0.178, p = .859, 95% CI [-0.024, 0.028]; Table 4). No other fixed effects reached significance. Mann-Whitney comparison of mean per-subject connectivity across training sessions found no significant group difference (U = 33, p = .318, r = -0.347, medium effect, n.s.).</w:t>
      </w:r>
    </w:p>
    <w:p>
      <w:pPr>
        <w:pStyle w:val="Heading2"/>
      </w:pPr>
      <w:r>
        <w:rPr>
          <w:rFonts w:ascii="Times New Roman" w:hAnsi="Times New Roman"/>
          <w:sz w:val="24"/>
        </w:rPr>
        <w:t>Table 4. LMM Results — Frontal-Temporal Connectivity (HbO, Fisher-z, N = 121)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Beta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z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95% CI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Intercept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0.190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0.086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2.208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.027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[0.021, 0.358]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Group (Accelerated)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0.039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0.112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0.345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.730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[-0.182, 0.259]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Session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0.016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1.742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.082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[-0.002, 0.034]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Group x Session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0.013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0.178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.859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[-0.024, 0.028]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Connectivity Baseline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0.031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0.216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0.142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.887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[-0.393, 0.455]</w:t>
            </w:r>
          </w:p>
        </w:tc>
      </w:tr>
    </w:tbl>
    <w:p>
      <w:r>
        <w:t>REML; BFGS; 3 obs excluded (SUBJ_001, SUBJ_005, SUBJ_024 at session 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