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6"/>
        </w:rPr>
        <w:t>Methods</w:t>
      </w:r>
    </w:p>
    <w:p>
      <w:pPr>
        <w:pStyle w:val="Heading2"/>
      </w:pPr>
      <w:r>
        <w:rPr>
          <w:rFonts w:ascii="Times New Roman" w:hAnsi="Times New Roman"/>
          <w:sz w:val="24"/>
        </w:rPr>
        <w:t>Individual Neural Efficiency Regressions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To characterise individual-level NE learning trajectories, simple OLS regressions (NE ~ sessao_num) were estimated independently for each participant-ROI combination (N = 9 data points per regression, training sessions 1-9). The OLS slope represents the rate of NE change per session. Participants were classified according to the significance of their individual slope (p &lt; .05, p &lt; .10, or n.s.). Between-group differences in slope distributions were assessed using independent-samples t-tests on mean slope magnitude and Fisher exact tests on the proportion of participants with significant slopes, conducted separately for each ROI.</w:t>
      </w:r>
    </w:p>
    <w:p>
      <w:pPr>
        <w:pStyle w:val="Heading2"/>
      </w:pPr>
      <w:r>
        <w:rPr>
          <w:rFonts w:ascii="Times New Roman" w:hAnsi="Times New Roman"/>
          <w:sz w:val="24"/>
        </w:rPr>
        <w:t>Mann-Whitney Group Comparison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To assess overall group differences in NE magnitude, mean NE was computed per participant for each ROI (averaged across training sessions 1-9). Mann-Whitney U tests (two-tailed) compared the Accelerated and Non-Accelerated group distributions. Effect size was quantified as the rank-biserial correlation r = 1 - (2U / n1*n2), classified as small (r &lt; 0.3), medium (0.3 &lt;= r &lt; 0.5), or large (r &gt;= 0.5).</w:t>
      </w:r>
    </w:p>
    <w:p>
      <w:pPr>
        <w:pStyle w:val="Heading1"/>
      </w:pPr>
      <w:r>
        <w:rPr>
          <w:rFonts w:ascii="Times New Roman" w:hAnsi="Times New Roman"/>
          <w:sz w:val="26"/>
        </w:rPr>
        <w:t>Results</w:t>
      </w:r>
    </w:p>
    <w:p>
      <w:pPr>
        <w:pStyle w:val="Heading2"/>
      </w:pPr>
      <w:r>
        <w:rPr>
          <w:rFonts w:ascii="Times New Roman" w:hAnsi="Times New Roman"/>
          <w:sz w:val="24"/>
        </w:rPr>
        <w:t>Individual NE Regressions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In the Frontal ROI, the Accelerated group showed a mean positive NE slope of M = 0.113 (SD = 0.075), with 1 of 7 participants reaching significance (p &lt; .05). The Non-Accelerated group mean slope was M = 0.046 (SD = 0.107), with 1 of 7 participants significant. Between-group comparisons were non-significant (t-test: p = .198; Fisher exact: p = 1.0).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In the Temporal ROI, the Accelerated group showed a mean slope of M = 0.136 (SD = 0.109), with 3 of 7 participants showing significant positive slopes (p &lt; .05). The Non-Accelerated group mean slope was M = 0.027 (SD = 0.109), with 2 of 7 significant. The between-group difference approached but did not reach statistical significance (t-test: p = .086; Fisher exact: p = 1.0).</w:t>
      </w:r>
    </w:p>
    <w:p>
      <w:pPr>
        <w:pStyle w:val="Heading2"/>
      </w:pPr>
      <w:r>
        <w:rPr>
          <w:rFonts w:ascii="Times New Roman" w:hAnsi="Times New Roman"/>
          <w:sz w:val="24"/>
        </w:rPr>
        <w:t>Mann-Whitney Group Comparison of Mean NE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When mean NE across training sessions was compared between groups, the Accelerated group demonstrated significantly higher NE than the Non-Accelerated group in both ROIs.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Frontal ROI: Accelerated M = 0.470 (SD = 0.286) vs Non-Accelerated M = -0.470 (SD = 0.762); Mann-Whitney U = 46, p = .004, r = -0.878 (large effect size).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Temporal ROI: Accelerated M = 0.543 (SD = 0.482) vs Non-Accelerated M = -0.543 (SD = 0.725); Mann-Whitney U = 47, p = .002, r = -0.918 (large effect size).</w:t>
      </w:r>
    </w:p>
    <w:p>
      <w:pPr>
        <w:spacing w:after="0" w:before="0"/>
        <w:ind w:firstLine="576"/>
      </w:pPr>
      <w:r>
        <w:rPr>
          <w:rFonts w:ascii="Times New Roman" w:hAnsi="Times New Roman"/>
          <w:sz w:val="24"/>
        </w:rPr>
        <w:t>These results indicate that, across the full training period, the Accelerated group maintained substantially higher neural efficiency in both frontal and temporal regions, with large effect sizes in both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