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1250.0" w:type="dxa"/>
        <w:jc w:val="left"/>
        <w:tblInd w:w="-135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44"/>
        <w:gridCol w:w="1559"/>
        <w:gridCol w:w="1574"/>
        <w:gridCol w:w="410"/>
        <w:gridCol w:w="3663"/>
        <w:tblGridChange w:id="0">
          <w:tblGrid>
            <w:gridCol w:w="4044"/>
            <w:gridCol w:w="1559"/>
            <w:gridCol w:w="1574"/>
            <w:gridCol w:w="410"/>
            <w:gridCol w:w="3663"/>
          </w:tblGrid>
        </w:tblGridChange>
      </w:tblGrid>
      <w:tr>
        <w:tc>
          <w:tcPr>
            <w:gridSpan w:val="5"/>
            <w:shd w:fill="d9d9d9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Ata de Reunião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Data: 16/03/2017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Hora: 09:30</w:t>
            </w:r>
          </w:p>
        </w:tc>
      </w:tr>
      <w:tr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Local: PUC-MG, Praça da Liberdade, prédio 4, 15º andar</w:t>
            </w:r>
          </w:p>
        </w:tc>
      </w:tr>
      <w:tr>
        <w:tc>
          <w:tcPr>
            <w:gridSpan w:val="5"/>
            <w:shd w:fill="d9d9d9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Participantes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Papel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Dênio Barbosa Júnior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hyperlink r:id="rId5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deniojr@gmail.com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Engenheiro de Requisitos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Lucas Henrique Faria Silva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lucasheriques@gmail.com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Engenheiro de Requisitos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Maria Augusta Vieira Nelson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guta@pucminas.br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shd w:fill="d9d9d9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Pauta </w:t>
            </w:r>
          </w:p>
        </w:tc>
      </w:tr>
      <w:tr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Priorização dos requisitos. Confirmação do product backlog e confirmação dos requisitos necessários para a primeira sprint.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shd w:fill="d9d9d9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Notas e Decisões</w:t>
            </w:r>
          </w:p>
        </w:tc>
      </w:tr>
      <w:tr>
        <w:trPr>
          <w:trHeight w:val="1620" w:hRule="atLeast"/>
        </w:trPr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A as decisões a seguir foram acordadas por ambas as partes interessadas: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Primeira Sprint: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0" w:before="0" w:line="276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Entrega do bot com perguntas e respostas “mais básicas”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spacing w:after="200" w:before="0" w:line="276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Bot respondendo ao estudante sobre os diferentes perfis de mercado do profissional formado em Engenharia de Software.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Segunda Sprint: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Contextualização do bot em relação ao estudante interessado, neste caso, o conforme o estudante conversa com o bot, ele irá formular sugestões de perguntas ou tópicos de possível interesse do aluno;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200" w:before="0" w:line="276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Ajudar possíveis estudantes sobre como o curso funciona na universidade PUC-MG.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Terceira Sprint: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0" w:before="0" w:line="276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Gerar valor para a PUC-MG: O bot deverá atuar como uma ferramenta de marketing para a universidade. Deverá mostrar vantagens de ser um aluno da PUC-MG;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spacing w:after="200" w:before="0" w:line="276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Gerar estatísticas sobre os alunos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5"/>
            <w:shd w:fill="d9d9d9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Pendências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Descrição da Pendência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para solução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Responsável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– Definição sobre perguntas e respostas mais básicas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Por marcar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Maria Augusta Vieira Nelson</w:t>
            </w:r>
          </w:p>
        </w:tc>
      </w:tr>
      <w:tr>
        <w:trPr>
          <w:trHeight w:val="60" w:hRule="atLeast"/>
        </w:trPr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– Definir quais dados serão importantes para montar as estatísticas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Por marcar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Maria Augusta Vieira Nelson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</w:tabs>
      <w:spacing w:after="0" w:before="708" w:line="240" w:lineRule="auto"/>
      <w:contextualSpacing w:val="0"/>
      <w:jc w:val="right"/>
      <w:rPr/>
    </w:pPr>
    <w:r w:rsidDel="00000000" w:rsidR="00000000" w:rsidRPr="00000000">
      <w:rPr>
        <w:rtl w:val="0"/>
      </w:rPr>
      <w:t xml:space="preserve">Prof. Marcelo Werneck e Prof. Felipe Domingos</w:t>
    </w:r>
  </w:p>
  <w:p w:rsidR="00000000" w:rsidDel="00000000" w:rsidP="00000000" w:rsidRDefault="00000000" w:rsidRPr="00000000">
    <w:pPr>
      <w:tabs>
        <w:tab w:val="center" w:pos="4252"/>
        <w:tab w:val="right" w:pos="8504"/>
      </w:tabs>
      <w:spacing w:after="0" w:line="240" w:lineRule="auto"/>
      <w:contextualSpacing w:val="0"/>
      <w:jc w:val="right"/>
      <w:rPr/>
    </w:pPr>
    <w:r w:rsidDel="00000000" w:rsidR="00000000" w:rsidRPr="00000000">
      <w:rPr>
        <w:rtl w:val="0"/>
      </w:rPr>
      <w:t xml:space="preserve">Trabalho Interdisciplinar – Engenharia de Software – PUC Minas Praça da Liberdade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0" w:before="2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deniojr@gmail.com" TargetMode="External"/><Relationship Id="rId6" Type="http://schemas.openxmlformats.org/officeDocument/2006/relationships/header" Target="header1.xml"/></Relationships>
</file>