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250.0" w:type="dxa"/>
        <w:jc w:val="left"/>
        <w:tblInd w:w="-13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4"/>
        <w:gridCol w:w="1559"/>
        <w:gridCol w:w="1574"/>
        <w:gridCol w:w="410"/>
        <w:gridCol w:w="3663"/>
        <w:tblGridChange w:id="0">
          <w:tblGrid>
            <w:gridCol w:w="4044"/>
            <w:gridCol w:w="1559"/>
            <w:gridCol w:w="1574"/>
            <w:gridCol w:w="410"/>
            <w:gridCol w:w="3663"/>
          </w:tblGrid>
        </w:tblGridChange>
      </w:tblGrid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Data: 18/03/2017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Hora: 12:30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Local: PUC-MG, Praça da Liberdade, prédio 4, 15º andar</w:t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Dênio Barbosa Júnior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hyperlink r:id="rId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deniojr@gmail.com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Engenheiro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Henrique Faria Silva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Engenheiro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Mariana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Aline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Pauta </w:t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Apresentação dos casos de uso e histórias de usuários.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trHeight w:val="1620" w:hRule="atLeast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Decidido as histórias de usuários do Product Backlog que serão implementadas na primeira sprint. Acordado por todos os membros do grupo.</w:t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Prof. Marcelo Werneck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eniojr@gmail.com" TargetMode="External"/><Relationship Id="rId6" Type="http://schemas.openxmlformats.org/officeDocument/2006/relationships/header" Target="header1.xml"/></Relationships>
</file>