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0F3CB" w14:textId="3172020B" w:rsidR="00A16DB5" w:rsidRDefault="00A16DB5" w:rsidP="00A16DB5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Available indicators for SDG 14 in Australia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8"/>
        <w:gridCol w:w="6099"/>
        <w:gridCol w:w="1619"/>
      </w:tblGrid>
      <w:tr w:rsidR="00900A1F" w:rsidRPr="00900A1F" w14:paraId="0B7B16E9" w14:textId="77777777" w:rsidTr="00900A1F">
        <w:trPr>
          <w:trHeight w:val="300"/>
        </w:trPr>
        <w:tc>
          <w:tcPr>
            <w:tcW w:w="130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E9C00BB" w14:textId="77777777" w:rsidR="00900A1F" w:rsidRPr="00900A1F" w:rsidRDefault="00900A1F" w:rsidP="00900A1F">
            <w:pPr>
              <w:spacing w:after="0" w:line="240" w:lineRule="auto"/>
              <w:rPr>
                <w:sz w:val="20"/>
                <w:szCs w:val="20"/>
              </w:rPr>
            </w:pPr>
            <w:r w:rsidRPr="00900A1F">
              <w:rPr>
                <w:sz w:val="20"/>
                <w:szCs w:val="20"/>
              </w:rPr>
              <w:t>Indicator</w:t>
            </w:r>
          </w:p>
        </w:tc>
        <w:tc>
          <w:tcPr>
            <w:tcW w:w="609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1D5090E" w14:textId="69BACC98" w:rsidR="00900A1F" w:rsidRPr="00900A1F" w:rsidRDefault="00900A1F" w:rsidP="00900A1F">
            <w:pPr>
              <w:spacing w:after="0" w:line="240" w:lineRule="auto"/>
              <w:rPr>
                <w:sz w:val="20"/>
                <w:szCs w:val="20"/>
              </w:rPr>
            </w:pPr>
            <w:r w:rsidRPr="00900A1F">
              <w:rPr>
                <w:sz w:val="20"/>
                <w:szCs w:val="20"/>
              </w:rPr>
              <w:t>Description</w:t>
            </w: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4C9597F" w14:textId="3E47C022" w:rsidR="00900A1F" w:rsidRPr="00900A1F" w:rsidRDefault="00900A1F" w:rsidP="007A39D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900A1F">
              <w:rPr>
                <w:sz w:val="20"/>
                <w:szCs w:val="20"/>
              </w:rPr>
              <w:t>Time</w:t>
            </w:r>
            <w:r>
              <w:rPr>
                <w:sz w:val="20"/>
                <w:szCs w:val="20"/>
              </w:rPr>
              <w:t xml:space="preserve"> </w:t>
            </w:r>
            <w:r w:rsidRPr="00900A1F">
              <w:rPr>
                <w:sz w:val="20"/>
                <w:szCs w:val="20"/>
              </w:rPr>
              <w:t>Range</w:t>
            </w:r>
          </w:p>
        </w:tc>
      </w:tr>
      <w:tr w:rsidR="00900A1F" w:rsidRPr="00900A1F" w14:paraId="4A62B4DE" w14:textId="77777777" w:rsidTr="00900A1F">
        <w:trPr>
          <w:trHeight w:val="300"/>
        </w:trPr>
        <w:tc>
          <w:tcPr>
            <w:tcW w:w="1308" w:type="dxa"/>
            <w:tcBorders>
              <w:top w:val="single" w:sz="4" w:space="0" w:color="auto"/>
            </w:tcBorders>
            <w:noWrap/>
            <w:hideMark/>
          </w:tcPr>
          <w:p w14:paraId="0C2A9DD9" w14:textId="77777777" w:rsidR="00900A1F" w:rsidRPr="00900A1F" w:rsidRDefault="00900A1F" w:rsidP="00900A1F">
            <w:pPr>
              <w:spacing w:before="60" w:after="60" w:line="240" w:lineRule="auto"/>
              <w:rPr>
                <w:sz w:val="20"/>
                <w:szCs w:val="20"/>
              </w:rPr>
            </w:pPr>
            <w:r w:rsidRPr="00900A1F">
              <w:rPr>
                <w:sz w:val="20"/>
                <w:szCs w:val="20"/>
              </w:rPr>
              <w:t>14.1.1</w:t>
            </w:r>
          </w:p>
        </w:tc>
        <w:tc>
          <w:tcPr>
            <w:tcW w:w="6099" w:type="dxa"/>
            <w:tcBorders>
              <w:top w:val="single" w:sz="4" w:space="0" w:color="auto"/>
            </w:tcBorders>
            <w:noWrap/>
            <w:hideMark/>
          </w:tcPr>
          <w:p w14:paraId="59F63FF5" w14:textId="565F3FB2" w:rsidR="00900A1F" w:rsidRPr="00900A1F" w:rsidRDefault="00900A1F" w:rsidP="00900A1F">
            <w:pPr>
              <w:spacing w:before="60" w:after="60" w:line="240" w:lineRule="auto"/>
              <w:rPr>
                <w:sz w:val="20"/>
                <w:szCs w:val="20"/>
              </w:rPr>
            </w:pPr>
            <w:r w:rsidRPr="00900A1F">
              <w:rPr>
                <w:sz w:val="20"/>
                <w:szCs w:val="20"/>
              </w:rPr>
              <w:t>Beach litter originating from national land-based sources that ends in the beach (%)</w:t>
            </w:r>
            <w:r w:rsidRPr="00900A1F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619" w:type="dxa"/>
            <w:tcBorders>
              <w:top w:val="single" w:sz="4" w:space="0" w:color="auto"/>
            </w:tcBorders>
            <w:noWrap/>
            <w:hideMark/>
          </w:tcPr>
          <w:p w14:paraId="570087B3" w14:textId="77777777" w:rsidR="00900A1F" w:rsidRPr="00900A1F" w:rsidRDefault="00900A1F" w:rsidP="007A39D1">
            <w:pPr>
              <w:spacing w:before="60" w:after="60" w:line="240" w:lineRule="auto"/>
              <w:jc w:val="right"/>
              <w:rPr>
                <w:sz w:val="20"/>
                <w:szCs w:val="20"/>
              </w:rPr>
            </w:pPr>
            <w:r w:rsidRPr="00900A1F">
              <w:rPr>
                <w:sz w:val="20"/>
                <w:szCs w:val="20"/>
              </w:rPr>
              <w:t>2017-2021</w:t>
            </w:r>
          </w:p>
        </w:tc>
      </w:tr>
      <w:tr w:rsidR="00900A1F" w:rsidRPr="00900A1F" w14:paraId="4485162E" w14:textId="77777777" w:rsidTr="00900A1F">
        <w:trPr>
          <w:trHeight w:val="300"/>
        </w:trPr>
        <w:tc>
          <w:tcPr>
            <w:tcW w:w="1308" w:type="dxa"/>
            <w:noWrap/>
            <w:hideMark/>
          </w:tcPr>
          <w:p w14:paraId="47C1967E" w14:textId="77777777" w:rsidR="00900A1F" w:rsidRPr="00900A1F" w:rsidRDefault="00900A1F" w:rsidP="00900A1F">
            <w:pPr>
              <w:spacing w:before="60" w:after="60" w:line="240" w:lineRule="auto"/>
              <w:rPr>
                <w:sz w:val="20"/>
                <w:szCs w:val="20"/>
              </w:rPr>
            </w:pPr>
            <w:r w:rsidRPr="00900A1F">
              <w:rPr>
                <w:sz w:val="20"/>
                <w:szCs w:val="20"/>
              </w:rPr>
              <w:t>14.1.1</w:t>
            </w:r>
          </w:p>
        </w:tc>
        <w:tc>
          <w:tcPr>
            <w:tcW w:w="6099" w:type="dxa"/>
            <w:noWrap/>
            <w:hideMark/>
          </w:tcPr>
          <w:p w14:paraId="68B7448D" w14:textId="1F1B77F7" w:rsidR="00900A1F" w:rsidRPr="00900A1F" w:rsidRDefault="00900A1F" w:rsidP="00900A1F">
            <w:pPr>
              <w:spacing w:before="60" w:after="60" w:line="240" w:lineRule="auto"/>
              <w:rPr>
                <w:sz w:val="20"/>
                <w:szCs w:val="20"/>
              </w:rPr>
            </w:pPr>
            <w:r w:rsidRPr="00900A1F">
              <w:rPr>
                <w:sz w:val="20"/>
                <w:szCs w:val="20"/>
              </w:rPr>
              <w:t>Beach litter originating from national land-based sources that ends in the beach (Tonnes)</w:t>
            </w:r>
            <w:r w:rsidRPr="00900A1F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619" w:type="dxa"/>
            <w:noWrap/>
            <w:hideMark/>
          </w:tcPr>
          <w:p w14:paraId="59CDBAD3" w14:textId="77777777" w:rsidR="00900A1F" w:rsidRPr="00900A1F" w:rsidRDefault="00900A1F" w:rsidP="007A39D1">
            <w:pPr>
              <w:spacing w:before="60" w:after="60" w:line="240" w:lineRule="auto"/>
              <w:jc w:val="right"/>
              <w:rPr>
                <w:sz w:val="20"/>
                <w:szCs w:val="20"/>
              </w:rPr>
            </w:pPr>
            <w:r w:rsidRPr="00900A1F">
              <w:rPr>
                <w:sz w:val="20"/>
                <w:szCs w:val="20"/>
              </w:rPr>
              <w:t>2017-2022</w:t>
            </w:r>
          </w:p>
        </w:tc>
      </w:tr>
      <w:tr w:rsidR="00900A1F" w:rsidRPr="00900A1F" w14:paraId="00EDCF22" w14:textId="77777777" w:rsidTr="00900A1F">
        <w:trPr>
          <w:trHeight w:val="300"/>
        </w:trPr>
        <w:tc>
          <w:tcPr>
            <w:tcW w:w="1308" w:type="dxa"/>
            <w:noWrap/>
            <w:hideMark/>
          </w:tcPr>
          <w:p w14:paraId="40B0C145" w14:textId="77777777" w:rsidR="00900A1F" w:rsidRPr="00900A1F" w:rsidRDefault="00900A1F" w:rsidP="00900A1F">
            <w:pPr>
              <w:spacing w:before="60" w:after="60" w:line="240" w:lineRule="auto"/>
              <w:rPr>
                <w:sz w:val="20"/>
                <w:szCs w:val="20"/>
              </w:rPr>
            </w:pPr>
            <w:r w:rsidRPr="00900A1F">
              <w:rPr>
                <w:sz w:val="20"/>
                <w:szCs w:val="20"/>
              </w:rPr>
              <w:t>14.1.1</w:t>
            </w:r>
          </w:p>
        </w:tc>
        <w:tc>
          <w:tcPr>
            <w:tcW w:w="6099" w:type="dxa"/>
            <w:noWrap/>
            <w:hideMark/>
          </w:tcPr>
          <w:p w14:paraId="57F356BF" w14:textId="7BD61292" w:rsidR="00900A1F" w:rsidRPr="00900A1F" w:rsidRDefault="00900A1F" w:rsidP="00900A1F">
            <w:pPr>
              <w:spacing w:before="60" w:after="60" w:line="240" w:lineRule="auto"/>
              <w:rPr>
                <w:sz w:val="20"/>
                <w:szCs w:val="20"/>
              </w:rPr>
            </w:pPr>
            <w:r w:rsidRPr="00900A1F">
              <w:rPr>
                <w:sz w:val="20"/>
                <w:szCs w:val="20"/>
              </w:rPr>
              <w:t>Beach litter originating from national land-based sources that ends in the ocean (%)</w:t>
            </w:r>
            <w:r w:rsidRPr="00900A1F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619" w:type="dxa"/>
            <w:noWrap/>
            <w:hideMark/>
          </w:tcPr>
          <w:p w14:paraId="2D53BFB2" w14:textId="77777777" w:rsidR="00900A1F" w:rsidRPr="00900A1F" w:rsidRDefault="00900A1F" w:rsidP="007A39D1">
            <w:pPr>
              <w:spacing w:before="60" w:after="60" w:line="240" w:lineRule="auto"/>
              <w:jc w:val="right"/>
              <w:rPr>
                <w:sz w:val="20"/>
                <w:szCs w:val="20"/>
              </w:rPr>
            </w:pPr>
            <w:r w:rsidRPr="00900A1F">
              <w:rPr>
                <w:sz w:val="20"/>
                <w:szCs w:val="20"/>
              </w:rPr>
              <w:t>2017-2021</w:t>
            </w:r>
          </w:p>
        </w:tc>
      </w:tr>
      <w:tr w:rsidR="00900A1F" w:rsidRPr="00900A1F" w14:paraId="08B28258" w14:textId="77777777" w:rsidTr="00900A1F">
        <w:trPr>
          <w:trHeight w:val="300"/>
        </w:trPr>
        <w:tc>
          <w:tcPr>
            <w:tcW w:w="1308" w:type="dxa"/>
            <w:noWrap/>
            <w:hideMark/>
          </w:tcPr>
          <w:p w14:paraId="3E2FF90F" w14:textId="77777777" w:rsidR="00900A1F" w:rsidRPr="00900A1F" w:rsidRDefault="00900A1F" w:rsidP="00900A1F">
            <w:pPr>
              <w:spacing w:before="60" w:after="60" w:line="240" w:lineRule="auto"/>
              <w:rPr>
                <w:sz w:val="20"/>
                <w:szCs w:val="20"/>
              </w:rPr>
            </w:pPr>
            <w:r w:rsidRPr="00900A1F">
              <w:rPr>
                <w:sz w:val="20"/>
                <w:szCs w:val="20"/>
              </w:rPr>
              <w:t>14.1.1</w:t>
            </w:r>
          </w:p>
        </w:tc>
        <w:tc>
          <w:tcPr>
            <w:tcW w:w="6099" w:type="dxa"/>
            <w:noWrap/>
            <w:hideMark/>
          </w:tcPr>
          <w:p w14:paraId="517286A5" w14:textId="5E93750E" w:rsidR="00900A1F" w:rsidRPr="00900A1F" w:rsidRDefault="00900A1F" w:rsidP="00900A1F">
            <w:pPr>
              <w:spacing w:before="60" w:after="60" w:line="240" w:lineRule="auto"/>
              <w:rPr>
                <w:sz w:val="20"/>
                <w:szCs w:val="20"/>
              </w:rPr>
            </w:pPr>
            <w:r w:rsidRPr="00900A1F">
              <w:rPr>
                <w:sz w:val="20"/>
                <w:szCs w:val="20"/>
              </w:rPr>
              <w:t>Beach litter originating from national land-based sources that ends in the ocean (Tonnes)</w:t>
            </w:r>
            <w:r w:rsidRPr="00900A1F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619" w:type="dxa"/>
            <w:noWrap/>
            <w:hideMark/>
          </w:tcPr>
          <w:p w14:paraId="31A45736" w14:textId="77777777" w:rsidR="00900A1F" w:rsidRPr="00900A1F" w:rsidRDefault="00900A1F" w:rsidP="007A39D1">
            <w:pPr>
              <w:spacing w:before="60" w:after="60" w:line="240" w:lineRule="auto"/>
              <w:jc w:val="right"/>
              <w:rPr>
                <w:sz w:val="20"/>
                <w:szCs w:val="20"/>
              </w:rPr>
            </w:pPr>
            <w:r w:rsidRPr="00900A1F">
              <w:rPr>
                <w:sz w:val="20"/>
                <w:szCs w:val="20"/>
              </w:rPr>
              <w:t>2017-2021</w:t>
            </w:r>
          </w:p>
        </w:tc>
      </w:tr>
      <w:tr w:rsidR="00900A1F" w:rsidRPr="00900A1F" w14:paraId="52EA7A67" w14:textId="77777777" w:rsidTr="00900A1F">
        <w:trPr>
          <w:trHeight w:val="300"/>
        </w:trPr>
        <w:tc>
          <w:tcPr>
            <w:tcW w:w="1308" w:type="dxa"/>
            <w:noWrap/>
            <w:hideMark/>
          </w:tcPr>
          <w:p w14:paraId="433F27A3" w14:textId="77777777" w:rsidR="00900A1F" w:rsidRPr="00900A1F" w:rsidRDefault="00900A1F" w:rsidP="00900A1F">
            <w:pPr>
              <w:spacing w:before="60" w:after="60" w:line="240" w:lineRule="auto"/>
              <w:rPr>
                <w:sz w:val="20"/>
                <w:szCs w:val="20"/>
              </w:rPr>
            </w:pPr>
            <w:r w:rsidRPr="00900A1F">
              <w:rPr>
                <w:sz w:val="20"/>
                <w:szCs w:val="20"/>
              </w:rPr>
              <w:t>14.1.1</w:t>
            </w:r>
          </w:p>
        </w:tc>
        <w:tc>
          <w:tcPr>
            <w:tcW w:w="6099" w:type="dxa"/>
            <w:noWrap/>
            <w:hideMark/>
          </w:tcPr>
          <w:p w14:paraId="68E05E7F" w14:textId="4944984F" w:rsidR="00900A1F" w:rsidRPr="00900A1F" w:rsidRDefault="00900A1F" w:rsidP="00900A1F">
            <w:pPr>
              <w:spacing w:before="60" w:after="60" w:line="240" w:lineRule="auto"/>
              <w:rPr>
                <w:sz w:val="20"/>
                <w:szCs w:val="20"/>
              </w:rPr>
            </w:pPr>
            <w:r w:rsidRPr="00900A1F">
              <w:rPr>
                <w:sz w:val="20"/>
                <w:szCs w:val="20"/>
              </w:rPr>
              <w:t>Beach litter per square kilometre (Number)</w:t>
            </w:r>
            <w:r w:rsidRPr="00900A1F">
              <w:rPr>
                <w:sz w:val="20"/>
                <w:szCs w:val="20"/>
                <w:vertAlign w:val="superscript"/>
              </w:rPr>
              <w:t xml:space="preserve"> 2</w:t>
            </w:r>
          </w:p>
        </w:tc>
        <w:tc>
          <w:tcPr>
            <w:tcW w:w="1619" w:type="dxa"/>
            <w:noWrap/>
            <w:hideMark/>
          </w:tcPr>
          <w:p w14:paraId="02961684" w14:textId="77777777" w:rsidR="00900A1F" w:rsidRPr="00900A1F" w:rsidRDefault="00900A1F" w:rsidP="007A39D1">
            <w:pPr>
              <w:spacing w:before="60" w:after="60" w:line="240" w:lineRule="auto"/>
              <w:jc w:val="right"/>
              <w:rPr>
                <w:sz w:val="20"/>
                <w:szCs w:val="20"/>
              </w:rPr>
            </w:pPr>
            <w:r w:rsidRPr="00900A1F">
              <w:rPr>
                <w:sz w:val="20"/>
                <w:szCs w:val="20"/>
              </w:rPr>
              <w:t>2015-2022</w:t>
            </w:r>
          </w:p>
        </w:tc>
      </w:tr>
      <w:tr w:rsidR="00900A1F" w:rsidRPr="00900A1F" w14:paraId="71F89FBB" w14:textId="77777777" w:rsidTr="00900A1F">
        <w:trPr>
          <w:trHeight w:val="300"/>
        </w:trPr>
        <w:tc>
          <w:tcPr>
            <w:tcW w:w="1308" w:type="dxa"/>
            <w:noWrap/>
            <w:hideMark/>
          </w:tcPr>
          <w:p w14:paraId="0866A0F5" w14:textId="77777777" w:rsidR="00900A1F" w:rsidRPr="00900A1F" w:rsidRDefault="00900A1F" w:rsidP="00900A1F">
            <w:pPr>
              <w:spacing w:before="60" w:after="60" w:line="240" w:lineRule="auto"/>
              <w:rPr>
                <w:sz w:val="20"/>
                <w:szCs w:val="20"/>
              </w:rPr>
            </w:pPr>
            <w:r w:rsidRPr="00900A1F">
              <w:rPr>
                <w:sz w:val="20"/>
                <w:szCs w:val="20"/>
              </w:rPr>
              <w:t>14.1.1</w:t>
            </w:r>
          </w:p>
        </w:tc>
        <w:tc>
          <w:tcPr>
            <w:tcW w:w="6099" w:type="dxa"/>
            <w:noWrap/>
            <w:hideMark/>
          </w:tcPr>
          <w:p w14:paraId="643991D2" w14:textId="532ECE7D" w:rsidR="00900A1F" w:rsidRPr="00900A1F" w:rsidRDefault="00900A1F" w:rsidP="00900A1F">
            <w:pPr>
              <w:spacing w:before="60" w:after="60" w:line="240" w:lineRule="auto"/>
              <w:rPr>
                <w:sz w:val="20"/>
                <w:szCs w:val="20"/>
              </w:rPr>
            </w:pPr>
            <w:r w:rsidRPr="00900A1F">
              <w:rPr>
                <w:sz w:val="20"/>
                <w:szCs w:val="20"/>
              </w:rPr>
              <w:t>Chlorophyll-a deviations, remote sensing (%)</w:t>
            </w:r>
            <w:r w:rsidRPr="00900A1F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619" w:type="dxa"/>
            <w:noWrap/>
            <w:hideMark/>
          </w:tcPr>
          <w:p w14:paraId="0F9C15AF" w14:textId="77777777" w:rsidR="00900A1F" w:rsidRPr="00900A1F" w:rsidRDefault="00900A1F" w:rsidP="007A39D1">
            <w:pPr>
              <w:spacing w:before="60" w:after="60" w:line="240" w:lineRule="auto"/>
              <w:jc w:val="right"/>
              <w:rPr>
                <w:sz w:val="20"/>
                <w:szCs w:val="20"/>
              </w:rPr>
            </w:pPr>
            <w:r w:rsidRPr="00900A1F">
              <w:rPr>
                <w:sz w:val="20"/>
                <w:szCs w:val="20"/>
              </w:rPr>
              <w:t>2005-2022</w:t>
            </w:r>
          </w:p>
        </w:tc>
      </w:tr>
      <w:tr w:rsidR="00900A1F" w:rsidRPr="00900A1F" w14:paraId="265AE12D" w14:textId="77777777" w:rsidTr="00900A1F">
        <w:trPr>
          <w:trHeight w:val="300"/>
        </w:trPr>
        <w:tc>
          <w:tcPr>
            <w:tcW w:w="1308" w:type="dxa"/>
            <w:noWrap/>
            <w:hideMark/>
          </w:tcPr>
          <w:p w14:paraId="6A14BBDF" w14:textId="77777777" w:rsidR="00900A1F" w:rsidRPr="00900A1F" w:rsidRDefault="00900A1F" w:rsidP="00900A1F">
            <w:pPr>
              <w:spacing w:before="60" w:after="60" w:line="240" w:lineRule="auto"/>
              <w:rPr>
                <w:sz w:val="20"/>
                <w:szCs w:val="20"/>
              </w:rPr>
            </w:pPr>
            <w:r w:rsidRPr="00900A1F">
              <w:rPr>
                <w:sz w:val="20"/>
                <w:szCs w:val="20"/>
              </w:rPr>
              <w:t>14.1.1</w:t>
            </w:r>
          </w:p>
        </w:tc>
        <w:tc>
          <w:tcPr>
            <w:tcW w:w="6099" w:type="dxa"/>
            <w:noWrap/>
            <w:hideMark/>
          </w:tcPr>
          <w:p w14:paraId="38784C6E" w14:textId="2B69330E" w:rsidR="00900A1F" w:rsidRPr="00900A1F" w:rsidRDefault="00900A1F" w:rsidP="00900A1F">
            <w:pPr>
              <w:spacing w:before="60" w:after="60" w:line="240" w:lineRule="auto"/>
              <w:rPr>
                <w:sz w:val="20"/>
                <w:szCs w:val="20"/>
              </w:rPr>
            </w:pPr>
            <w:r w:rsidRPr="00900A1F">
              <w:rPr>
                <w:sz w:val="20"/>
                <w:szCs w:val="20"/>
              </w:rPr>
              <w:t>Exported beach litter originating from national land-based sources (Tonnes)</w:t>
            </w:r>
            <w:r w:rsidRPr="00900A1F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619" w:type="dxa"/>
            <w:noWrap/>
            <w:hideMark/>
          </w:tcPr>
          <w:p w14:paraId="7A18D972" w14:textId="77777777" w:rsidR="00900A1F" w:rsidRPr="00900A1F" w:rsidRDefault="00900A1F" w:rsidP="007A39D1">
            <w:pPr>
              <w:spacing w:before="60" w:after="60" w:line="240" w:lineRule="auto"/>
              <w:jc w:val="right"/>
              <w:rPr>
                <w:sz w:val="20"/>
                <w:szCs w:val="20"/>
              </w:rPr>
            </w:pPr>
            <w:r w:rsidRPr="00900A1F">
              <w:rPr>
                <w:sz w:val="20"/>
                <w:szCs w:val="20"/>
              </w:rPr>
              <w:t>2017-2022</w:t>
            </w:r>
          </w:p>
        </w:tc>
      </w:tr>
      <w:tr w:rsidR="00900A1F" w:rsidRPr="00900A1F" w14:paraId="37D5BB7A" w14:textId="77777777" w:rsidTr="00900A1F">
        <w:trPr>
          <w:trHeight w:val="300"/>
        </w:trPr>
        <w:tc>
          <w:tcPr>
            <w:tcW w:w="1308" w:type="dxa"/>
            <w:noWrap/>
            <w:hideMark/>
          </w:tcPr>
          <w:p w14:paraId="077D5172" w14:textId="77777777" w:rsidR="00900A1F" w:rsidRPr="00900A1F" w:rsidRDefault="00900A1F" w:rsidP="00900A1F">
            <w:pPr>
              <w:spacing w:before="60" w:after="60" w:line="240" w:lineRule="auto"/>
              <w:rPr>
                <w:sz w:val="20"/>
                <w:szCs w:val="20"/>
              </w:rPr>
            </w:pPr>
            <w:r w:rsidRPr="00900A1F">
              <w:rPr>
                <w:sz w:val="20"/>
                <w:szCs w:val="20"/>
              </w:rPr>
              <w:t>14.3.1</w:t>
            </w:r>
          </w:p>
        </w:tc>
        <w:tc>
          <w:tcPr>
            <w:tcW w:w="6099" w:type="dxa"/>
            <w:noWrap/>
            <w:hideMark/>
          </w:tcPr>
          <w:p w14:paraId="6DAA2A93" w14:textId="70551E1C" w:rsidR="00900A1F" w:rsidRPr="00900A1F" w:rsidRDefault="00900A1F" w:rsidP="00900A1F">
            <w:pPr>
              <w:spacing w:before="60" w:after="60" w:line="240" w:lineRule="auto"/>
              <w:rPr>
                <w:sz w:val="20"/>
                <w:szCs w:val="20"/>
              </w:rPr>
            </w:pPr>
            <w:r w:rsidRPr="00900A1F">
              <w:rPr>
                <w:sz w:val="20"/>
                <w:szCs w:val="20"/>
              </w:rPr>
              <w:t>Average marine acidity (pH) measured at agreed suite of representative sampling stations</w:t>
            </w:r>
            <w:r w:rsidRPr="00900A1F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619" w:type="dxa"/>
            <w:noWrap/>
            <w:hideMark/>
          </w:tcPr>
          <w:p w14:paraId="34303107" w14:textId="77777777" w:rsidR="00900A1F" w:rsidRPr="00900A1F" w:rsidRDefault="00900A1F" w:rsidP="007A39D1">
            <w:pPr>
              <w:spacing w:before="60" w:after="60" w:line="240" w:lineRule="auto"/>
              <w:jc w:val="right"/>
              <w:rPr>
                <w:sz w:val="20"/>
                <w:szCs w:val="20"/>
              </w:rPr>
            </w:pPr>
            <w:r w:rsidRPr="00900A1F">
              <w:rPr>
                <w:sz w:val="20"/>
                <w:szCs w:val="20"/>
              </w:rPr>
              <w:t>2010-2021</w:t>
            </w:r>
          </w:p>
        </w:tc>
      </w:tr>
      <w:tr w:rsidR="00900A1F" w:rsidRPr="00900A1F" w14:paraId="4A130B8F" w14:textId="77777777" w:rsidTr="00900A1F">
        <w:trPr>
          <w:trHeight w:val="300"/>
        </w:trPr>
        <w:tc>
          <w:tcPr>
            <w:tcW w:w="1308" w:type="dxa"/>
            <w:noWrap/>
            <w:hideMark/>
          </w:tcPr>
          <w:p w14:paraId="1D85FA4F" w14:textId="77777777" w:rsidR="00900A1F" w:rsidRPr="00900A1F" w:rsidRDefault="00900A1F" w:rsidP="00900A1F">
            <w:pPr>
              <w:spacing w:before="60" w:after="60" w:line="240" w:lineRule="auto"/>
              <w:rPr>
                <w:sz w:val="20"/>
                <w:szCs w:val="20"/>
              </w:rPr>
            </w:pPr>
            <w:r w:rsidRPr="00900A1F">
              <w:rPr>
                <w:sz w:val="20"/>
                <w:szCs w:val="20"/>
              </w:rPr>
              <w:t>14.4.1</w:t>
            </w:r>
          </w:p>
        </w:tc>
        <w:tc>
          <w:tcPr>
            <w:tcW w:w="6099" w:type="dxa"/>
            <w:noWrap/>
            <w:hideMark/>
          </w:tcPr>
          <w:p w14:paraId="37E06B03" w14:textId="24D60DBC" w:rsidR="00900A1F" w:rsidRPr="00900A1F" w:rsidRDefault="00900A1F" w:rsidP="00900A1F">
            <w:pPr>
              <w:spacing w:before="60" w:after="60" w:line="240" w:lineRule="auto"/>
              <w:rPr>
                <w:sz w:val="20"/>
                <w:szCs w:val="20"/>
              </w:rPr>
            </w:pPr>
            <w:r w:rsidRPr="00900A1F">
              <w:rPr>
                <w:sz w:val="20"/>
                <w:szCs w:val="20"/>
              </w:rPr>
              <w:t>Proportion of fish stocks within biologically sustainable levels (not overexploited) (%)</w:t>
            </w:r>
            <w:r w:rsidR="007574D7" w:rsidRPr="007574D7"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619" w:type="dxa"/>
            <w:noWrap/>
            <w:hideMark/>
          </w:tcPr>
          <w:p w14:paraId="3776226A" w14:textId="77777777" w:rsidR="00900A1F" w:rsidRPr="00900A1F" w:rsidRDefault="00900A1F" w:rsidP="007A39D1">
            <w:pPr>
              <w:spacing w:before="60" w:after="60" w:line="240" w:lineRule="auto"/>
              <w:jc w:val="right"/>
              <w:rPr>
                <w:sz w:val="20"/>
                <w:szCs w:val="20"/>
              </w:rPr>
            </w:pPr>
            <w:r w:rsidRPr="00900A1F">
              <w:rPr>
                <w:sz w:val="20"/>
                <w:szCs w:val="20"/>
              </w:rPr>
              <w:t>2018</w:t>
            </w:r>
          </w:p>
        </w:tc>
      </w:tr>
      <w:tr w:rsidR="00900A1F" w:rsidRPr="00900A1F" w14:paraId="5D0E3739" w14:textId="77777777" w:rsidTr="00900A1F">
        <w:trPr>
          <w:trHeight w:val="300"/>
        </w:trPr>
        <w:tc>
          <w:tcPr>
            <w:tcW w:w="1308" w:type="dxa"/>
            <w:noWrap/>
            <w:hideMark/>
          </w:tcPr>
          <w:p w14:paraId="57AF38A0" w14:textId="77777777" w:rsidR="00900A1F" w:rsidRPr="00900A1F" w:rsidRDefault="00900A1F" w:rsidP="00900A1F">
            <w:pPr>
              <w:spacing w:before="60" w:after="60" w:line="240" w:lineRule="auto"/>
              <w:rPr>
                <w:sz w:val="20"/>
                <w:szCs w:val="20"/>
              </w:rPr>
            </w:pPr>
            <w:r w:rsidRPr="00900A1F">
              <w:rPr>
                <w:sz w:val="20"/>
                <w:szCs w:val="20"/>
              </w:rPr>
              <w:t>14.5.1</w:t>
            </w:r>
          </w:p>
        </w:tc>
        <w:tc>
          <w:tcPr>
            <w:tcW w:w="6099" w:type="dxa"/>
            <w:noWrap/>
            <w:hideMark/>
          </w:tcPr>
          <w:p w14:paraId="781C3D7F" w14:textId="01AEAB10" w:rsidR="00900A1F" w:rsidRPr="00900A1F" w:rsidRDefault="00900A1F" w:rsidP="00900A1F">
            <w:pPr>
              <w:spacing w:before="60" w:after="60" w:line="240" w:lineRule="auto"/>
              <w:rPr>
                <w:sz w:val="20"/>
                <w:szCs w:val="20"/>
              </w:rPr>
            </w:pPr>
            <w:r w:rsidRPr="00900A1F">
              <w:rPr>
                <w:sz w:val="20"/>
                <w:szCs w:val="20"/>
              </w:rPr>
              <w:t>Average proportion of Marine Key Biodiversity Areas (KBAs) covered by protected areas (%)</w:t>
            </w:r>
            <w:r w:rsidR="00692170" w:rsidRPr="00692170">
              <w:rPr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619" w:type="dxa"/>
            <w:noWrap/>
            <w:hideMark/>
          </w:tcPr>
          <w:p w14:paraId="6E701623" w14:textId="77777777" w:rsidR="00900A1F" w:rsidRPr="00900A1F" w:rsidRDefault="00900A1F" w:rsidP="007A39D1">
            <w:pPr>
              <w:spacing w:before="60" w:after="60" w:line="240" w:lineRule="auto"/>
              <w:jc w:val="right"/>
              <w:rPr>
                <w:sz w:val="20"/>
                <w:szCs w:val="20"/>
              </w:rPr>
            </w:pPr>
            <w:r w:rsidRPr="00900A1F">
              <w:rPr>
                <w:sz w:val="20"/>
                <w:szCs w:val="20"/>
              </w:rPr>
              <w:t>2000-2023</w:t>
            </w:r>
          </w:p>
        </w:tc>
      </w:tr>
      <w:tr w:rsidR="00900A1F" w:rsidRPr="00900A1F" w14:paraId="79E2F7B6" w14:textId="77777777" w:rsidTr="00900A1F">
        <w:trPr>
          <w:trHeight w:val="300"/>
        </w:trPr>
        <w:tc>
          <w:tcPr>
            <w:tcW w:w="1308" w:type="dxa"/>
            <w:noWrap/>
            <w:hideMark/>
          </w:tcPr>
          <w:p w14:paraId="05695EF3" w14:textId="77777777" w:rsidR="00900A1F" w:rsidRPr="00900A1F" w:rsidRDefault="00900A1F" w:rsidP="00900A1F">
            <w:pPr>
              <w:spacing w:before="60" w:after="60" w:line="240" w:lineRule="auto"/>
              <w:rPr>
                <w:sz w:val="20"/>
                <w:szCs w:val="20"/>
              </w:rPr>
            </w:pPr>
            <w:r w:rsidRPr="00900A1F">
              <w:rPr>
                <w:sz w:val="20"/>
                <w:szCs w:val="20"/>
              </w:rPr>
              <w:t>14.6.1</w:t>
            </w:r>
          </w:p>
        </w:tc>
        <w:tc>
          <w:tcPr>
            <w:tcW w:w="6099" w:type="dxa"/>
            <w:noWrap/>
            <w:hideMark/>
          </w:tcPr>
          <w:p w14:paraId="366C5091" w14:textId="1DC27DF0" w:rsidR="00900A1F" w:rsidRPr="00900A1F" w:rsidRDefault="00900A1F" w:rsidP="00900A1F">
            <w:pPr>
              <w:spacing w:before="60" w:after="60" w:line="240" w:lineRule="auto"/>
              <w:rPr>
                <w:sz w:val="20"/>
                <w:szCs w:val="20"/>
              </w:rPr>
            </w:pPr>
            <w:r w:rsidRPr="00900A1F">
              <w:rPr>
                <w:sz w:val="20"/>
                <w:szCs w:val="20"/>
              </w:rPr>
              <w:t xml:space="preserve">Progress by countries in the degree of implementation of international instruments aiming to combat illegal, unreported and unregulated </w:t>
            </w:r>
            <w:proofErr w:type="gramStart"/>
            <w:r w:rsidRPr="00900A1F">
              <w:rPr>
                <w:sz w:val="20"/>
                <w:szCs w:val="20"/>
              </w:rPr>
              <w:t>fishin</w:t>
            </w:r>
            <w:r w:rsidR="006971B0">
              <w:rPr>
                <w:sz w:val="20"/>
                <w:szCs w:val="20"/>
              </w:rPr>
              <w:t>g</w:t>
            </w:r>
            <w:r w:rsidRPr="00900A1F">
              <w:rPr>
                <w:sz w:val="20"/>
                <w:szCs w:val="20"/>
              </w:rPr>
              <w:t>(</w:t>
            </w:r>
            <w:proofErr w:type="gramEnd"/>
            <w:r w:rsidRPr="00900A1F">
              <w:rPr>
                <w:sz w:val="20"/>
                <w:szCs w:val="20"/>
              </w:rPr>
              <w:t>level of implementation:1 lowest to 5 highest)</w:t>
            </w:r>
            <w:r w:rsidR="006971B0" w:rsidRPr="00692170">
              <w:rPr>
                <w:sz w:val="20"/>
                <w:szCs w:val="20"/>
                <w:vertAlign w:val="superscript"/>
              </w:rPr>
              <w:t xml:space="preserve"> 7</w:t>
            </w:r>
          </w:p>
        </w:tc>
        <w:tc>
          <w:tcPr>
            <w:tcW w:w="1619" w:type="dxa"/>
            <w:noWrap/>
            <w:hideMark/>
          </w:tcPr>
          <w:p w14:paraId="745B9EAB" w14:textId="77777777" w:rsidR="00900A1F" w:rsidRPr="00900A1F" w:rsidRDefault="00900A1F" w:rsidP="007A39D1">
            <w:pPr>
              <w:spacing w:before="60" w:after="60" w:line="240" w:lineRule="auto"/>
              <w:jc w:val="right"/>
              <w:rPr>
                <w:sz w:val="20"/>
                <w:szCs w:val="20"/>
              </w:rPr>
            </w:pPr>
            <w:r w:rsidRPr="00900A1F">
              <w:rPr>
                <w:sz w:val="20"/>
                <w:szCs w:val="20"/>
              </w:rPr>
              <w:t>2018-2022</w:t>
            </w:r>
          </w:p>
        </w:tc>
      </w:tr>
      <w:tr w:rsidR="00900A1F" w:rsidRPr="00900A1F" w14:paraId="17DA3A8C" w14:textId="77777777" w:rsidTr="00900A1F">
        <w:trPr>
          <w:trHeight w:val="300"/>
        </w:trPr>
        <w:tc>
          <w:tcPr>
            <w:tcW w:w="1308" w:type="dxa"/>
            <w:noWrap/>
            <w:hideMark/>
          </w:tcPr>
          <w:p w14:paraId="1345E90C" w14:textId="77777777" w:rsidR="00900A1F" w:rsidRPr="00900A1F" w:rsidRDefault="00900A1F" w:rsidP="00900A1F">
            <w:pPr>
              <w:spacing w:before="60" w:after="60" w:line="240" w:lineRule="auto"/>
              <w:rPr>
                <w:sz w:val="20"/>
                <w:szCs w:val="20"/>
              </w:rPr>
            </w:pPr>
            <w:r w:rsidRPr="00900A1F">
              <w:rPr>
                <w:sz w:val="20"/>
                <w:szCs w:val="20"/>
              </w:rPr>
              <w:t>14.a.1</w:t>
            </w:r>
          </w:p>
        </w:tc>
        <w:tc>
          <w:tcPr>
            <w:tcW w:w="6099" w:type="dxa"/>
            <w:noWrap/>
            <w:hideMark/>
          </w:tcPr>
          <w:p w14:paraId="7C0A226F" w14:textId="49661DEE" w:rsidR="00900A1F" w:rsidRPr="00900A1F" w:rsidRDefault="00900A1F" w:rsidP="00900A1F">
            <w:pPr>
              <w:spacing w:before="60" w:after="60" w:line="240" w:lineRule="auto"/>
              <w:rPr>
                <w:sz w:val="20"/>
                <w:szCs w:val="20"/>
              </w:rPr>
            </w:pPr>
            <w:r w:rsidRPr="00900A1F">
              <w:rPr>
                <w:sz w:val="20"/>
                <w:szCs w:val="20"/>
              </w:rPr>
              <w:t>National ocean science expenditure as a share of total research and development funding (%)</w:t>
            </w:r>
            <w:r w:rsidR="006971B0" w:rsidRPr="006971B0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619" w:type="dxa"/>
            <w:noWrap/>
            <w:hideMark/>
          </w:tcPr>
          <w:p w14:paraId="2BD7FB8E" w14:textId="77777777" w:rsidR="00900A1F" w:rsidRPr="00900A1F" w:rsidRDefault="00900A1F" w:rsidP="007A39D1">
            <w:pPr>
              <w:spacing w:before="60" w:after="60" w:line="240" w:lineRule="auto"/>
              <w:jc w:val="right"/>
              <w:rPr>
                <w:sz w:val="20"/>
                <w:szCs w:val="20"/>
              </w:rPr>
            </w:pPr>
            <w:r w:rsidRPr="00900A1F">
              <w:rPr>
                <w:sz w:val="20"/>
                <w:szCs w:val="20"/>
              </w:rPr>
              <w:t>2018-2021</w:t>
            </w:r>
          </w:p>
        </w:tc>
      </w:tr>
      <w:tr w:rsidR="00900A1F" w:rsidRPr="00900A1F" w14:paraId="5C962AF0" w14:textId="77777777" w:rsidTr="007B3081">
        <w:trPr>
          <w:trHeight w:val="300"/>
        </w:trPr>
        <w:tc>
          <w:tcPr>
            <w:tcW w:w="1308" w:type="dxa"/>
            <w:noWrap/>
            <w:hideMark/>
          </w:tcPr>
          <w:p w14:paraId="2A04DD09" w14:textId="77777777" w:rsidR="00900A1F" w:rsidRPr="00900A1F" w:rsidRDefault="00900A1F" w:rsidP="00900A1F">
            <w:pPr>
              <w:spacing w:before="60" w:after="60" w:line="240" w:lineRule="auto"/>
              <w:rPr>
                <w:sz w:val="20"/>
                <w:szCs w:val="20"/>
              </w:rPr>
            </w:pPr>
            <w:r w:rsidRPr="00900A1F">
              <w:rPr>
                <w:sz w:val="20"/>
                <w:szCs w:val="20"/>
              </w:rPr>
              <w:t>14.c.1</w:t>
            </w:r>
          </w:p>
        </w:tc>
        <w:tc>
          <w:tcPr>
            <w:tcW w:w="6099" w:type="dxa"/>
            <w:noWrap/>
            <w:hideMark/>
          </w:tcPr>
          <w:p w14:paraId="17A06363" w14:textId="41F23DA6" w:rsidR="00900A1F" w:rsidRPr="00900A1F" w:rsidRDefault="00900A1F" w:rsidP="00900A1F">
            <w:pPr>
              <w:spacing w:before="60" w:after="60" w:line="240" w:lineRule="auto"/>
              <w:rPr>
                <w:sz w:val="20"/>
                <w:szCs w:val="20"/>
              </w:rPr>
            </w:pPr>
            <w:r w:rsidRPr="00900A1F">
              <w:rPr>
                <w:sz w:val="20"/>
                <w:szCs w:val="20"/>
              </w:rPr>
              <w:t>Score for the implementation of UNCLOS and its two implementing agreements (%)</w:t>
            </w:r>
            <w:r w:rsidR="007B3081" w:rsidRPr="007B3081">
              <w:rPr>
                <w:sz w:val="20"/>
                <w:szCs w:val="20"/>
                <w:vertAlign w:val="superscript"/>
              </w:rPr>
              <w:t>8</w:t>
            </w:r>
          </w:p>
        </w:tc>
        <w:tc>
          <w:tcPr>
            <w:tcW w:w="1619" w:type="dxa"/>
            <w:noWrap/>
            <w:hideMark/>
          </w:tcPr>
          <w:p w14:paraId="7F117A85" w14:textId="77777777" w:rsidR="00900A1F" w:rsidRPr="00900A1F" w:rsidRDefault="00900A1F" w:rsidP="007A39D1">
            <w:pPr>
              <w:spacing w:before="60" w:after="60" w:line="240" w:lineRule="auto"/>
              <w:jc w:val="right"/>
              <w:rPr>
                <w:sz w:val="20"/>
                <w:szCs w:val="20"/>
              </w:rPr>
            </w:pPr>
            <w:r w:rsidRPr="00900A1F">
              <w:rPr>
                <w:sz w:val="20"/>
                <w:szCs w:val="20"/>
              </w:rPr>
              <w:t>2023</w:t>
            </w:r>
          </w:p>
        </w:tc>
      </w:tr>
      <w:tr w:rsidR="00900A1F" w:rsidRPr="00900A1F" w14:paraId="046E8437" w14:textId="77777777" w:rsidTr="007B3081">
        <w:trPr>
          <w:trHeight w:val="300"/>
        </w:trPr>
        <w:tc>
          <w:tcPr>
            <w:tcW w:w="1308" w:type="dxa"/>
            <w:tcBorders>
              <w:bottom w:val="single" w:sz="4" w:space="0" w:color="auto"/>
            </w:tcBorders>
            <w:noWrap/>
            <w:hideMark/>
          </w:tcPr>
          <w:p w14:paraId="07FA2550" w14:textId="77777777" w:rsidR="00900A1F" w:rsidRPr="00900A1F" w:rsidRDefault="00900A1F" w:rsidP="00900A1F">
            <w:pPr>
              <w:spacing w:before="60" w:after="60" w:line="240" w:lineRule="auto"/>
              <w:rPr>
                <w:sz w:val="20"/>
                <w:szCs w:val="20"/>
              </w:rPr>
            </w:pPr>
            <w:r w:rsidRPr="00900A1F">
              <w:rPr>
                <w:sz w:val="20"/>
                <w:szCs w:val="20"/>
              </w:rPr>
              <w:t>14.c.1</w:t>
            </w:r>
          </w:p>
        </w:tc>
        <w:tc>
          <w:tcPr>
            <w:tcW w:w="6099" w:type="dxa"/>
            <w:tcBorders>
              <w:bottom w:val="single" w:sz="4" w:space="0" w:color="auto"/>
            </w:tcBorders>
            <w:noWrap/>
            <w:hideMark/>
          </w:tcPr>
          <w:p w14:paraId="227625A9" w14:textId="441FA9EE" w:rsidR="00900A1F" w:rsidRPr="00900A1F" w:rsidRDefault="00900A1F" w:rsidP="00900A1F">
            <w:pPr>
              <w:spacing w:before="60" w:after="60" w:line="240" w:lineRule="auto"/>
              <w:rPr>
                <w:sz w:val="20"/>
                <w:szCs w:val="20"/>
              </w:rPr>
            </w:pPr>
            <w:r w:rsidRPr="00900A1F">
              <w:rPr>
                <w:sz w:val="20"/>
                <w:szCs w:val="20"/>
              </w:rPr>
              <w:t>Score for the ratification of and accession to UNCLOS and its two implementing agreements (%)</w:t>
            </w:r>
            <w:r w:rsidR="007B3081" w:rsidRPr="007B3081">
              <w:rPr>
                <w:sz w:val="20"/>
                <w:szCs w:val="20"/>
                <w:vertAlign w:val="superscript"/>
              </w:rPr>
              <w:t>8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noWrap/>
            <w:hideMark/>
          </w:tcPr>
          <w:p w14:paraId="298F95B2" w14:textId="77777777" w:rsidR="00900A1F" w:rsidRPr="00900A1F" w:rsidRDefault="00900A1F" w:rsidP="007A39D1">
            <w:pPr>
              <w:spacing w:before="60" w:after="60" w:line="240" w:lineRule="auto"/>
              <w:jc w:val="right"/>
              <w:rPr>
                <w:sz w:val="20"/>
                <w:szCs w:val="20"/>
              </w:rPr>
            </w:pPr>
            <w:r w:rsidRPr="00900A1F">
              <w:rPr>
                <w:sz w:val="20"/>
                <w:szCs w:val="20"/>
              </w:rPr>
              <w:t>2023</w:t>
            </w:r>
          </w:p>
        </w:tc>
      </w:tr>
      <w:tr w:rsidR="00900A1F" w:rsidRPr="00900A1F" w14:paraId="064F18BB" w14:textId="77777777" w:rsidTr="007B3081">
        <w:trPr>
          <w:trHeight w:val="300"/>
        </w:trPr>
        <w:tc>
          <w:tcPr>
            <w:tcW w:w="9026" w:type="dxa"/>
            <w:gridSpan w:val="3"/>
            <w:tcBorders>
              <w:top w:val="single" w:sz="4" w:space="0" w:color="auto"/>
            </w:tcBorders>
            <w:noWrap/>
          </w:tcPr>
          <w:p w14:paraId="5AFBBB58" w14:textId="7FAC4FC6" w:rsidR="00900A1F" w:rsidRPr="00900A1F" w:rsidRDefault="00900A1F" w:rsidP="00900A1F">
            <w:pPr>
              <w:spacing w:before="60" w:after="60" w:line="240" w:lineRule="auto"/>
              <w:rPr>
                <w:sz w:val="20"/>
                <w:szCs w:val="20"/>
              </w:rPr>
            </w:pPr>
            <w:r w:rsidRPr="00900A1F">
              <w:rPr>
                <w:sz w:val="20"/>
                <w:szCs w:val="20"/>
                <w:vertAlign w:val="superscript"/>
              </w:rPr>
              <w:t>1</w:t>
            </w:r>
            <w:r w:rsidRPr="00900A1F">
              <w:rPr>
                <w:sz w:val="20"/>
                <w:szCs w:val="20"/>
              </w:rPr>
              <w:t>Center for Ocean-Atmospheric Prediction Studies (COAPS)</w:t>
            </w:r>
          </w:p>
        </w:tc>
      </w:tr>
      <w:tr w:rsidR="00900A1F" w:rsidRPr="00900A1F" w14:paraId="201278AD" w14:textId="77777777" w:rsidTr="007B3081">
        <w:trPr>
          <w:trHeight w:val="300"/>
        </w:trPr>
        <w:tc>
          <w:tcPr>
            <w:tcW w:w="9026" w:type="dxa"/>
            <w:gridSpan w:val="3"/>
            <w:noWrap/>
          </w:tcPr>
          <w:p w14:paraId="47D70CCA" w14:textId="7C8E14C3" w:rsidR="00900A1F" w:rsidRPr="00900A1F" w:rsidRDefault="00900A1F" w:rsidP="00900A1F">
            <w:pPr>
              <w:spacing w:before="60" w:after="60" w:line="240" w:lineRule="auto"/>
              <w:rPr>
                <w:sz w:val="20"/>
                <w:szCs w:val="20"/>
              </w:rPr>
            </w:pPr>
            <w:r w:rsidRPr="00900A1F"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 xml:space="preserve"> </w:t>
            </w:r>
            <w:r w:rsidRPr="00900A1F">
              <w:rPr>
                <w:sz w:val="20"/>
                <w:szCs w:val="20"/>
              </w:rPr>
              <w:t>Plastic Pollution (MLW, MDMAP, ICC)</w:t>
            </w:r>
          </w:p>
        </w:tc>
      </w:tr>
      <w:tr w:rsidR="00900A1F" w:rsidRPr="00900A1F" w14:paraId="1BEC0A7D" w14:textId="77777777" w:rsidTr="00900A1F">
        <w:trPr>
          <w:trHeight w:val="300"/>
        </w:trPr>
        <w:tc>
          <w:tcPr>
            <w:tcW w:w="9026" w:type="dxa"/>
            <w:gridSpan w:val="3"/>
            <w:noWrap/>
          </w:tcPr>
          <w:p w14:paraId="27950BA2" w14:textId="1C01C50D" w:rsidR="00900A1F" w:rsidRPr="00900A1F" w:rsidRDefault="00900A1F" w:rsidP="00900A1F">
            <w:pPr>
              <w:spacing w:before="60" w:after="60" w:line="240" w:lineRule="auto"/>
              <w:rPr>
                <w:sz w:val="20"/>
                <w:szCs w:val="20"/>
              </w:rPr>
            </w:pPr>
            <w:r w:rsidRPr="00900A1F">
              <w:rPr>
                <w:sz w:val="20"/>
                <w:szCs w:val="20"/>
                <w:vertAlign w:val="superscript"/>
              </w:rPr>
              <w:t>3</w:t>
            </w:r>
            <w:r w:rsidRPr="00900A1F">
              <w:rPr>
                <w:sz w:val="20"/>
                <w:szCs w:val="20"/>
              </w:rPr>
              <w:t>World Environment Situation Room</w:t>
            </w:r>
          </w:p>
        </w:tc>
      </w:tr>
      <w:tr w:rsidR="00900A1F" w:rsidRPr="00900A1F" w14:paraId="0A198076" w14:textId="77777777" w:rsidTr="00900A1F">
        <w:trPr>
          <w:trHeight w:val="300"/>
        </w:trPr>
        <w:tc>
          <w:tcPr>
            <w:tcW w:w="9026" w:type="dxa"/>
            <w:gridSpan w:val="3"/>
            <w:noWrap/>
          </w:tcPr>
          <w:p w14:paraId="67AA44AD" w14:textId="237D7280" w:rsidR="00900A1F" w:rsidRPr="00900A1F" w:rsidRDefault="00900A1F" w:rsidP="00900A1F">
            <w:pPr>
              <w:spacing w:before="60" w:after="60" w:line="240" w:lineRule="auto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4</w:t>
            </w:r>
            <w:r w:rsidRPr="00900A1F">
              <w:rPr>
                <w:sz w:val="20"/>
                <w:szCs w:val="20"/>
              </w:rPr>
              <w:t>Intergovernmental Oceanographic Commission (IOC) of UNESCO</w:t>
            </w:r>
          </w:p>
        </w:tc>
      </w:tr>
      <w:tr w:rsidR="00900A1F" w:rsidRPr="00900A1F" w14:paraId="34086E99" w14:textId="77777777" w:rsidTr="007574D7">
        <w:trPr>
          <w:trHeight w:val="300"/>
        </w:trPr>
        <w:tc>
          <w:tcPr>
            <w:tcW w:w="9026" w:type="dxa"/>
            <w:gridSpan w:val="3"/>
            <w:noWrap/>
          </w:tcPr>
          <w:p w14:paraId="3B11C6E7" w14:textId="1AFEEAD7" w:rsidR="00900A1F" w:rsidRPr="00837EE0" w:rsidRDefault="007574D7" w:rsidP="00900A1F">
            <w:pPr>
              <w:spacing w:before="60" w:after="60" w:line="240" w:lineRule="auto"/>
              <w:rPr>
                <w:sz w:val="20"/>
                <w:szCs w:val="20"/>
              </w:rPr>
            </w:pPr>
            <w:r w:rsidRPr="007574D7">
              <w:rPr>
                <w:sz w:val="20"/>
                <w:szCs w:val="20"/>
                <w:vertAlign w:val="superscript"/>
              </w:rPr>
              <w:t>5</w:t>
            </w:r>
            <w:r w:rsidR="00837EE0" w:rsidRPr="00837EE0">
              <w:rPr>
                <w:sz w:val="20"/>
                <w:szCs w:val="20"/>
              </w:rPr>
              <w:t>Department of the Environment and Energy. at https://www.sdgdata.gov.au/goals/life-below-water/14.4.1</w:t>
            </w:r>
          </w:p>
        </w:tc>
      </w:tr>
      <w:tr w:rsidR="007574D7" w:rsidRPr="00900A1F" w14:paraId="4F7FFA66" w14:textId="77777777" w:rsidTr="00692170">
        <w:trPr>
          <w:trHeight w:val="300"/>
        </w:trPr>
        <w:tc>
          <w:tcPr>
            <w:tcW w:w="9026" w:type="dxa"/>
            <w:gridSpan w:val="3"/>
            <w:noWrap/>
          </w:tcPr>
          <w:p w14:paraId="0A17D62C" w14:textId="09C0D70E" w:rsidR="007574D7" w:rsidRPr="007574D7" w:rsidRDefault="007574D7" w:rsidP="00900A1F">
            <w:pPr>
              <w:spacing w:before="60" w:after="60" w:line="240" w:lineRule="auto"/>
              <w:rPr>
                <w:sz w:val="20"/>
                <w:szCs w:val="20"/>
              </w:rPr>
            </w:pPr>
            <w:r w:rsidRPr="007574D7">
              <w:rPr>
                <w:sz w:val="20"/>
                <w:szCs w:val="20"/>
                <w:vertAlign w:val="superscript"/>
              </w:rPr>
              <w:t>6</w:t>
            </w:r>
            <w:r w:rsidRPr="007574D7">
              <w:rPr>
                <w:sz w:val="20"/>
                <w:szCs w:val="20"/>
              </w:rPr>
              <w:t xml:space="preserve">BirdLife International, IUCN and UNEP-WCMC (2021). Based on spatial overlap between polygons for Key Biodiversity Areas from the World Database of Key </w:t>
            </w:r>
            <w:proofErr w:type="spellStart"/>
            <w:r w:rsidRPr="007574D7">
              <w:rPr>
                <w:sz w:val="20"/>
                <w:szCs w:val="20"/>
              </w:rPr>
              <w:t>Biodiveristy</w:t>
            </w:r>
            <w:proofErr w:type="spellEnd"/>
            <w:r w:rsidRPr="007574D7">
              <w:rPr>
                <w:sz w:val="20"/>
                <w:szCs w:val="20"/>
              </w:rPr>
              <w:t xml:space="preserve"> Areas (www.keybiodiversityareas.org) and polygons for protected areas from the World Database on Protected Areas and (where available) for Other Effective area-based Conservation Measures and from the World Database on OECMs (www.protectedplanet.net)</w:t>
            </w:r>
          </w:p>
        </w:tc>
      </w:tr>
      <w:tr w:rsidR="00692170" w:rsidRPr="00900A1F" w14:paraId="0907D2B5" w14:textId="77777777" w:rsidTr="007B3081">
        <w:trPr>
          <w:trHeight w:val="300"/>
        </w:trPr>
        <w:tc>
          <w:tcPr>
            <w:tcW w:w="9026" w:type="dxa"/>
            <w:gridSpan w:val="3"/>
            <w:noWrap/>
          </w:tcPr>
          <w:p w14:paraId="0A736C21" w14:textId="2414863C" w:rsidR="00692170" w:rsidRPr="00692170" w:rsidRDefault="00692170" w:rsidP="00900A1F">
            <w:pPr>
              <w:spacing w:before="60" w:after="60" w:line="240" w:lineRule="auto"/>
              <w:rPr>
                <w:sz w:val="20"/>
                <w:szCs w:val="20"/>
              </w:rPr>
            </w:pPr>
            <w:r w:rsidRPr="00692170">
              <w:rPr>
                <w:sz w:val="20"/>
                <w:szCs w:val="20"/>
                <w:vertAlign w:val="superscript"/>
              </w:rPr>
              <w:t>7</w:t>
            </w:r>
            <w:r w:rsidRPr="00692170">
              <w:rPr>
                <w:sz w:val="20"/>
                <w:szCs w:val="20"/>
              </w:rPr>
              <w:t>Questionnaire on the implementation of the Code of Conduct for Responsible Fisheries - Country self-reporting</w:t>
            </w:r>
          </w:p>
        </w:tc>
      </w:tr>
      <w:tr w:rsidR="007B3081" w:rsidRPr="00900A1F" w14:paraId="1416B579" w14:textId="77777777" w:rsidTr="007B3081">
        <w:trPr>
          <w:trHeight w:val="300"/>
        </w:trPr>
        <w:tc>
          <w:tcPr>
            <w:tcW w:w="9026" w:type="dxa"/>
            <w:gridSpan w:val="3"/>
            <w:noWrap/>
          </w:tcPr>
          <w:p w14:paraId="75713BF9" w14:textId="1261D038" w:rsidR="007B3081" w:rsidRPr="007B3081" w:rsidRDefault="007B3081" w:rsidP="00900A1F">
            <w:pPr>
              <w:spacing w:before="60" w:after="60" w:line="240" w:lineRule="auto"/>
              <w:rPr>
                <w:sz w:val="20"/>
                <w:szCs w:val="20"/>
              </w:rPr>
            </w:pPr>
            <w:r w:rsidRPr="007B3081">
              <w:rPr>
                <w:sz w:val="20"/>
                <w:szCs w:val="20"/>
                <w:vertAlign w:val="superscript"/>
              </w:rPr>
              <w:t>8</w:t>
            </w:r>
            <w:r w:rsidRPr="007B3081">
              <w:rPr>
                <w:sz w:val="20"/>
                <w:szCs w:val="20"/>
              </w:rPr>
              <w:t>Division for Ocean Affairs and the Law of the Sea, Office of Legal Affairs, United Nations Secretariat</w:t>
            </w:r>
          </w:p>
        </w:tc>
      </w:tr>
    </w:tbl>
    <w:p w14:paraId="31BB33AF" w14:textId="77777777" w:rsidR="00B560FF" w:rsidRDefault="00B560FF"/>
    <w:p w14:paraId="2CCE45E2" w14:textId="77777777" w:rsidR="00CE1F5A" w:rsidRDefault="00CE1F5A">
      <w:pPr>
        <w:sectPr w:rsidR="00CE1F5A" w:rsidSect="005C19D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201B3AE" w14:textId="77777777" w:rsidR="00CE6DC0" w:rsidRDefault="00A16DB5" w:rsidP="00CE6DC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7CD05CB" wp14:editId="6F90915A">
            <wp:extent cx="7230140" cy="5262060"/>
            <wp:effectExtent l="0" t="0" r="8890" b="0"/>
            <wp:docPr id="4713399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0" t="4401" r="9235" b="6799"/>
                    <a:stretch/>
                  </pic:blipFill>
                  <pic:spPr bwMode="auto">
                    <a:xfrm>
                      <a:off x="0" y="0"/>
                      <a:ext cx="7258521" cy="528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621D0" w14:textId="77777777" w:rsidR="001D0C7B" w:rsidRDefault="00CE6DC0" w:rsidP="001D4F6B">
      <w:pPr>
        <w:sectPr w:rsidR="001D0C7B" w:rsidSect="005C19D7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3B33F6">
        <w:t>Score for the implementation of UNCLOS and its two implementing agreements (%)</w:t>
      </w:r>
    </w:p>
    <w:p w14:paraId="05F0920F" w14:textId="0E62D527" w:rsidR="00D76923" w:rsidRDefault="00056284" w:rsidP="001D4F6B">
      <w:r>
        <w:lastRenderedPageBreak/>
        <w:t>We used R functions</w:t>
      </w:r>
      <w:r w:rsidR="00C70AC5">
        <w:t xml:space="preserve"> from</w:t>
      </w:r>
      <w:r w:rsidR="00361D50">
        <w:t xml:space="preserve"> open source code (</w:t>
      </w:r>
      <w:hyperlink r:id="rId7" w:history="1">
        <w:r w:rsidR="00361D50" w:rsidRPr="0099786E">
          <w:rPr>
            <w:rStyle w:val="Hyperlink"/>
          </w:rPr>
          <w:t>https://github.com/lucashertzog/DatSciTrain_SDGs_API</w:t>
        </w:r>
      </w:hyperlink>
      <w:r w:rsidR="00361D50">
        <w:t xml:space="preserve">) </w:t>
      </w:r>
      <w:r w:rsidR="001D4F6B">
        <w:t xml:space="preserve"> to interact with the United Nations Statistics Division SDG API </w:t>
      </w:r>
      <w:r w:rsidR="00AC0229">
        <w:t>(</w:t>
      </w:r>
      <w:hyperlink r:id="rId8" w:history="1">
        <w:r w:rsidR="00AC0229" w:rsidRPr="0099786E">
          <w:rPr>
            <w:rStyle w:val="Hyperlink"/>
          </w:rPr>
          <w:t>https://unstats.un.org/sdgapi/swagger</w:t>
        </w:r>
        <w:r w:rsidR="00AC0229" w:rsidRPr="0099786E">
          <w:rPr>
            <w:rStyle w:val="Hyperlink"/>
          </w:rPr>
          <w:t>/</w:t>
        </w:r>
      </w:hyperlink>
      <w:r w:rsidR="00AC0229">
        <w:t xml:space="preserve">) </w:t>
      </w:r>
      <w:r w:rsidR="001D4F6B">
        <w:t>and extract relevant indicators from the Global SDG Indicators Database and Metadata Repository</w:t>
      </w:r>
      <w:r w:rsidR="006E1157">
        <w:t xml:space="preserve"> (</w:t>
      </w:r>
      <w:hyperlink r:id="rId9" w:history="1">
        <w:r w:rsidR="006E1157" w:rsidRPr="0099786E">
          <w:rPr>
            <w:rStyle w:val="Hyperlink"/>
          </w:rPr>
          <w:t>https://unstats.un.org/sdgs/indicators/SDG_Updateinfo.xlsx</w:t>
        </w:r>
      </w:hyperlink>
      <w:r w:rsidR="006E1157">
        <w:t xml:space="preserve">). </w:t>
      </w:r>
      <w:r>
        <w:t>First</w:t>
      </w:r>
      <w:r w:rsidR="00D76923">
        <w:t>, a query was generated in the API</w:t>
      </w:r>
      <w:r w:rsidR="00F256D8">
        <w:t>, and data was downloaded in R. Then, data cleaning was done</w:t>
      </w:r>
      <w:r w:rsidR="006E1157">
        <w:t xml:space="preserve"> using </w:t>
      </w:r>
      <w:r w:rsidR="00656875">
        <w:t>parameters</w:t>
      </w:r>
      <w:r w:rsidR="00BC704B">
        <w:t xml:space="preserve"> available </w:t>
      </w:r>
      <w:r w:rsidR="00656875">
        <w:t>from the SDMX Global Registry (</w:t>
      </w:r>
      <w:hyperlink r:id="rId10" w:history="1">
        <w:r w:rsidR="00656875" w:rsidRPr="0099786E">
          <w:rPr>
            <w:rStyle w:val="Hyperlink"/>
          </w:rPr>
          <w:t>https://registry.sdmx.org/data/datastructure.html</w:t>
        </w:r>
      </w:hyperlink>
      <w:r w:rsidR="00656875">
        <w:t>)</w:t>
      </w:r>
      <w:r w:rsidR="00CC13BF">
        <w:t xml:space="preserve"> and </w:t>
      </w:r>
      <w:r w:rsidR="003D1F52">
        <w:t>values without restrictions (blank or observation status A) were selected</w:t>
      </w:r>
      <w:r w:rsidR="00656875">
        <w:t xml:space="preserve">. In Table 1, all available SDG 14 indicators were selected for Australia, and time periods </w:t>
      </w:r>
      <w:r w:rsidR="00143670">
        <w:t xml:space="preserve">availability </w:t>
      </w:r>
      <w:r w:rsidR="00656875">
        <w:t>w</w:t>
      </w:r>
      <w:r w:rsidR="00EB0FB9">
        <w:t>as</w:t>
      </w:r>
      <w:r w:rsidR="00656875">
        <w:t xml:space="preserve"> assessed. Figure 1 was generated using the </w:t>
      </w:r>
      <w:proofErr w:type="spellStart"/>
      <w:r w:rsidR="00E667C1" w:rsidRPr="00291661">
        <w:rPr>
          <w:i/>
          <w:iCs/>
        </w:rPr>
        <w:t>rnaturalearth</w:t>
      </w:r>
      <w:proofErr w:type="spellEnd"/>
      <w:r w:rsidR="00E667C1">
        <w:t xml:space="preserve"> package using the </w:t>
      </w:r>
      <w:r w:rsidR="00291661">
        <w:t>equal earth projection (</w:t>
      </w:r>
      <w:r w:rsidR="00291661" w:rsidRPr="0086001E">
        <w:rPr>
          <w:highlight w:val="yellow"/>
        </w:rPr>
        <w:t>CITE</w:t>
      </w:r>
      <w:r w:rsidR="00291661">
        <w:t xml:space="preserve">) with data </w:t>
      </w:r>
      <w:r w:rsidR="00327C0A">
        <w:t>from two indicators selecting all countries with data availability. More details on data availability for the indicators are shown in Table S1 (</w:t>
      </w:r>
      <w:r w:rsidR="0086001E" w:rsidRPr="0086001E">
        <w:rPr>
          <w:highlight w:val="yellow"/>
        </w:rPr>
        <w:t>sdg_14_unclos_map.csv</w:t>
      </w:r>
      <w:r w:rsidR="0086001E">
        <w:t>)</w:t>
      </w:r>
      <w:r w:rsidR="006D6006">
        <w:t>.</w:t>
      </w:r>
    </w:p>
    <w:sectPr w:rsidR="00D76923" w:rsidSect="001D0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54867"/>
    <w:multiLevelType w:val="multilevel"/>
    <w:tmpl w:val="A2369FF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692493689">
    <w:abstractNumId w:val="0"/>
  </w:num>
  <w:num w:numId="2" w16cid:durableId="1606843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DkUamJsbmhsaWSjpKwanFxZn5eSAFJrUAmKCcISwAAAA="/>
  </w:docVars>
  <w:rsids>
    <w:rsidRoot w:val="00900A1F"/>
    <w:rsid w:val="00056284"/>
    <w:rsid w:val="00143670"/>
    <w:rsid w:val="00194DBB"/>
    <w:rsid w:val="001D0C7B"/>
    <w:rsid w:val="001D4F6B"/>
    <w:rsid w:val="00201B35"/>
    <w:rsid w:val="00260037"/>
    <w:rsid w:val="00291661"/>
    <w:rsid w:val="00327C0A"/>
    <w:rsid w:val="00361D50"/>
    <w:rsid w:val="003D1F52"/>
    <w:rsid w:val="004770CA"/>
    <w:rsid w:val="005C19D7"/>
    <w:rsid w:val="00656875"/>
    <w:rsid w:val="00692170"/>
    <w:rsid w:val="006971B0"/>
    <w:rsid w:val="006D6006"/>
    <w:rsid w:val="006E1157"/>
    <w:rsid w:val="007574D7"/>
    <w:rsid w:val="007A39D1"/>
    <w:rsid w:val="007B3081"/>
    <w:rsid w:val="00837EE0"/>
    <w:rsid w:val="0086001E"/>
    <w:rsid w:val="00900A1F"/>
    <w:rsid w:val="00A16DB5"/>
    <w:rsid w:val="00AC0229"/>
    <w:rsid w:val="00B560FF"/>
    <w:rsid w:val="00BC704B"/>
    <w:rsid w:val="00C14FFC"/>
    <w:rsid w:val="00C33EE5"/>
    <w:rsid w:val="00C70AC5"/>
    <w:rsid w:val="00CC13BF"/>
    <w:rsid w:val="00CE1F5A"/>
    <w:rsid w:val="00CE6DC0"/>
    <w:rsid w:val="00D76923"/>
    <w:rsid w:val="00E141ED"/>
    <w:rsid w:val="00E667C1"/>
    <w:rsid w:val="00EB0FB9"/>
    <w:rsid w:val="00F256D8"/>
    <w:rsid w:val="00FE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FECC9"/>
  <w15:chartTrackingRefBased/>
  <w15:docId w15:val="{9816D770-1959-476C-A2EE-18A47E22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35"/>
    <w:pPr>
      <w:spacing w:after="120" w:line="480" w:lineRule="auto"/>
    </w:pPr>
    <w:rPr>
      <w:rFonts w:ascii="Arial" w:hAnsi="Arial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B35"/>
    <w:pPr>
      <w:keepNext/>
      <w:keepLines/>
      <w:numPr>
        <w:numId w:val="2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B35"/>
    <w:pPr>
      <w:numPr>
        <w:ilvl w:val="1"/>
        <w:numId w:val="2"/>
      </w:numPr>
      <w:ind w:left="360"/>
      <w:outlineLvl w:val="1"/>
    </w:pPr>
    <w:rPr>
      <w:rFonts w:cs="Times New Roman"/>
      <w:bCs/>
      <w:i/>
      <w:i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1B35"/>
    <w:pPr>
      <w:outlineLvl w:val="2"/>
    </w:pPr>
    <w:rPr>
      <w:rFonts w:cs="Times New Roman"/>
      <w:i/>
      <w:i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A1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B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A1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A1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A1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A1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List">
    <w:name w:val="Author List"/>
    <w:aliases w:val="Keywords,Abstract"/>
    <w:basedOn w:val="Subtitle"/>
    <w:next w:val="Normal"/>
    <w:uiPriority w:val="1"/>
    <w:qFormat/>
    <w:rsid w:val="00201B35"/>
    <w:pPr>
      <w:numPr>
        <w:ilvl w:val="0"/>
      </w:numPr>
      <w:spacing w:after="240"/>
      <w:ind w:firstLine="720"/>
    </w:pPr>
    <w:rPr>
      <w:rFonts w:ascii="Arial" w:eastAsiaTheme="minorHAnsi" w:hAnsi="Arial" w:cs="Times New Roman"/>
      <w:color w:val="auto"/>
      <w:spacing w:val="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B35"/>
    <w:pPr>
      <w:numPr>
        <w:ilvl w:val="1"/>
      </w:numPr>
      <w:spacing w:after="160"/>
      <w:ind w:firstLine="72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01B35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201B35"/>
    <w:pPr>
      <w:tabs>
        <w:tab w:val="left" w:pos="504"/>
      </w:tabs>
      <w:spacing w:after="0" w:line="240" w:lineRule="auto"/>
      <w:ind w:left="504" w:hanging="504"/>
    </w:pPr>
  </w:style>
  <w:style w:type="paragraph" w:styleId="BodyText">
    <w:name w:val="Body Text"/>
    <w:basedOn w:val="Normal"/>
    <w:link w:val="BodyTextChar"/>
    <w:qFormat/>
    <w:rsid w:val="00201B35"/>
    <w:pPr>
      <w:spacing w:before="180" w:after="180" w:line="240" w:lineRule="auto"/>
    </w:pPr>
    <w:rPr>
      <w:rFonts w:asciiTheme="minorHAnsi" w:hAnsiTheme="minorHAnsi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01B35"/>
    <w:rPr>
      <w:kern w:val="0"/>
      <w:sz w:val="24"/>
      <w:szCs w:val="24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201B35"/>
    <w:pPr>
      <w:spacing w:after="200" w:line="240" w:lineRule="auto"/>
    </w:pPr>
    <w:rPr>
      <w:iCs/>
      <w:sz w:val="20"/>
      <w:szCs w:val="18"/>
    </w:rPr>
  </w:style>
  <w:style w:type="character" w:styleId="CommentReference">
    <w:name w:val="annotation reference"/>
    <w:basedOn w:val="DefaultParagraphFont"/>
    <w:semiHidden/>
    <w:unhideWhenUsed/>
    <w:rsid w:val="00201B3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01B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01B35"/>
    <w:rPr>
      <w:rFonts w:ascii="Arial" w:hAnsi="Arial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B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B35"/>
    <w:rPr>
      <w:rFonts w:ascii="Arial" w:hAnsi="Arial"/>
      <w:b/>
      <w:bCs/>
      <w:kern w:val="0"/>
      <w:sz w:val="20"/>
      <w:szCs w:val="20"/>
      <w14:ligatures w14:val="none"/>
    </w:rPr>
  </w:style>
  <w:style w:type="paragraph" w:customStyle="1" w:styleId="Compact">
    <w:name w:val="Compact"/>
    <w:basedOn w:val="BodyText"/>
    <w:qFormat/>
    <w:rsid w:val="00201B35"/>
    <w:pPr>
      <w:spacing w:before="36" w:after="36"/>
    </w:pPr>
    <w:rPr>
      <w:rFonts w:ascii="Arial" w:hAnsi="Arial"/>
    </w:rPr>
  </w:style>
  <w:style w:type="character" w:customStyle="1" w:styleId="field-value">
    <w:name w:val="field-value"/>
    <w:basedOn w:val="DefaultParagraphFont"/>
    <w:rsid w:val="00201B35"/>
  </w:style>
  <w:style w:type="paragraph" w:customStyle="1" w:styleId="firstpage">
    <w:name w:val="first page"/>
    <w:basedOn w:val="Normal"/>
    <w:qFormat/>
    <w:rsid w:val="00201B35"/>
    <w:pPr>
      <w:spacing w:after="0" w:line="240" w:lineRule="auto"/>
    </w:pPr>
    <w:rPr>
      <w:rFonts w:cs="Times New Roman"/>
    </w:rPr>
  </w:style>
  <w:style w:type="paragraph" w:customStyle="1" w:styleId="FirstParagraph">
    <w:name w:val="First Paragraph"/>
    <w:basedOn w:val="BodyText"/>
    <w:next w:val="BodyText"/>
    <w:qFormat/>
    <w:rsid w:val="00201B35"/>
  </w:style>
  <w:style w:type="paragraph" w:styleId="Footer">
    <w:name w:val="footer"/>
    <w:basedOn w:val="Normal"/>
    <w:link w:val="FooterChar"/>
    <w:uiPriority w:val="99"/>
    <w:unhideWhenUsed/>
    <w:rsid w:val="00201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B35"/>
    <w:rPr>
      <w:rFonts w:ascii="Arial" w:hAnsi="Arial"/>
      <w:kern w:val="0"/>
      <w:sz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01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B35"/>
    <w:rPr>
      <w:rFonts w:ascii="Arial" w:hAnsi="Arial"/>
      <w:kern w:val="0"/>
      <w:sz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01B35"/>
    <w:rPr>
      <w:rFonts w:ascii="Arial" w:eastAsiaTheme="majorEastAsia" w:hAnsi="Arial" w:cstheme="majorBidi"/>
      <w:b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01B35"/>
    <w:rPr>
      <w:rFonts w:ascii="Arial" w:hAnsi="Arial" w:cs="Times New Roman"/>
      <w:bCs/>
      <w:i/>
      <w:iCs/>
      <w:kern w:val="0"/>
      <w:sz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01B35"/>
    <w:rPr>
      <w:rFonts w:ascii="Arial" w:hAnsi="Arial" w:cs="Times New Roman"/>
      <w:i/>
      <w:iCs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B35"/>
    <w:rPr>
      <w:rFonts w:asciiTheme="majorHAnsi" w:eastAsiaTheme="majorEastAsia" w:hAnsiTheme="majorHAnsi" w:cstheme="majorBidi"/>
      <w:color w:val="0F4761" w:themeColor="accent1" w:themeShade="BF"/>
      <w:kern w:val="0"/>
      <w:sz w:val="24"/>
      <w14:ligatures w14:val="none"/>
    </w:rPr>
  </w:style>
  <w:style w:type="paragraph" w:customStyle="1" w:styleId="HeadingnoNR">
    <w:name w:val="Heading_no_NR"/>
    <w:basedOn w:val="Heading1"/>
    <w:qFormat/>
    <w:rsid w:val="00201B35"/>
    <w:pPr>
      <w:keepNext w:val="0"/>
      <w:keepLines w:val="0"/>
      <w:numPr>
        <w:numId w:val="0"/>
      </w:numPr>
      <w:spacing w:before="240"/>
    </w:pPr>
    <w:rPr>
      <w:rFonts w:eastAsia="Cambria" w:cstheme="minorBidi"/>
      <w:szCs w:val="24"/>
    </w:rPr>
  </w:style>
  <w:style w:type="character" w:styleId="Hyperlink">
    <w:name w:val="Hyperlink"/>
    <w:basedOn w:val="DefaultParagraphFont"/>
    <w:uiPriority w:val="99"/>
    <w:unhideWhenUsed/>
    <w:rsid w:val="00201B35"/>
    <w:rPr>
      <w:color w:val="467886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201B35"/>
  </w:style>
  <w:style w:type="paragraph" w:styleId="ListParagraph">
    <w:name w:val="List Paragraph"/>
    <w:basedOn w:val="Normal"/>
    <w:uiPriority w:val="34"/>
    <w:qFormat/>
    <w:rsid w:val="00201B35"/>
    <w:pPr>
      <w:ind w:left="720"/>
      <w:contextualSpacing/>
    </w:pPr>
  </w:style>
  <w:style w:type="paragraph" w:styleId="NoSpacing">
    <w:name w:val="No Spacing"/>
    <w:uiPriority w:val="1"/>
    <w:qFormat/>
    <w:rsid w:val="00201B35"/>
    <w:pPr>
      <w:spacing w:after="0" w:line="240" w:lineRule="auto"/>
    </w:pPr>
    <w:rPr>
      <w:rFonts w:ascii="Arial" w:hAnsi="Arial"/>
      <w:kern w:val="0"/>
      <w:sz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01B3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AU"/>
    </w:rPr>
  </w:style>
  <w:style w:type="table" w:customStyle="1" w:styleId="Table">
    <w:name w:val="Table"/>
    <w:semiHidden/>
    <w:unhideWhenUsed/>
    <w:qFormat/>
    <w:rsid w:val="00201B35"/>
    <w:pPr>
      <w:spacing w:after="200" w:line="240" w:lineRule="auto"/>
    </w:pPr>
    <w:rPr>
      <w:kern w:val="0"/>
      <w:sz w:val="24"/>
      <w:szCs w:val="24"/>
      <w:lang w:val="en-US" w:eastAsia="en-AU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tabletext">
    <w:name w:val="table text"/>
    <w:basedOn w:val="Normal"/>
    <w:qFormat/>
    <w:rsid w:val="00201B35"/>
    <w:pPr>
      <w:framePr w:hSpace="180" w:wrap="around" w:hAnchor="margin" w:y="419"/>
      <w:spacing w:after="0"/>
    </w:pPr>
    <w:rPr>
      <w:rFonts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01B35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B35"/>
    <w:rPr>
      <w:rFonts w:ascii="Arial" w:eastAsiaTheme="majorEastAsia" w:hAnsi="Arial" w:cstheme="majorBidi"/>
      <w:b/>
      <w:spacing w:val="-10"/>
      <w:kern w:val="28"/>
      <w:sz w:val="24"/>
      <w:szCs w:val="56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01B3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A1F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A1F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A1F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A1F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A1F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00A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A1F"/>
    <w:rPr>
      <w:rFonts w:ascii="Arial" w:hAnsi="Arial"/>
      <w:i/>
      <w:iCs/>
      <w:color w:val="404040" w:themeColor="text1" w:themeTint="BF"/>
      <w:kern w:val="0"/>
      <w:sz w:val="24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900A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A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A1F"/>
    <w:rPr>
      <w:rFonts w:ascii="Arial" w:hAnsi="Arial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00A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0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3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tats.un.org/sdgapi/swagger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lucashertzog/DatSciTrain_SDGs_API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egistry.sdmx.org/data/datastructur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nstats.un.org/sdgs/indicators/SDG_Updateinfo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3DB8E-4492-4146-B95A-D78E35E52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Hertzog</dc:creator>
  <cp:keywords/>
  <dc:description/>
  <cp:lastModifiedBy>Lucas Hertzog</cp:lastModifiedBy>
  <cp:revision>32</cp:revision>
  <dcterms:created xsi:type="dcterms:W3CDTF">2024-05-08T03:42:00Z</dcterms:created>
  <dcterms:modified xsi:type="dcterms:W3CDTF">2024-05-16T05:41:00Z</dcterms:modified>
</cp:coreProperties>
</file>