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901" w:rsidRDefault="00543130">
      <w:r>
        <w:rPr>
          <w:rFonts w:eastAsia="Times New Roman"/>
          <w:noProof/>
        </w:rPr>
        <w:drawing>
          <wp:inline distT="0" distB="0" distL="0" distR="0">
            <wp:extent cx="4676775" cy="1323975"/>
            <wp:effectExtent l="19050" t="0" r="9525" b="0"/>
            <wp:docPr id="1" name="Picture 1" descr="cid:72084AF4-C657-4EFB-93B6-E2B676004452@hsd1.ca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ee62f-fb8c-4655-9587-724d744c18b5" descr="cid:72084AF4-C657-4EFB-93B6-E2B676004452@hsd1.ca.comcast.net.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F0" w:rsidRPr="0031790F" w:rsidRDefault="009F66F0" w:rsidP="009F66F0">
      <w:pPr>
        <w:jc w:val="both"/>
        <w:rPr>
          <w:rFonts w:ascii="Times New Roman" w:hAnsi="Times New Roman" w:cs="Times New Roman"/>
          <w:b/>
          <w:color w:val="1F497D" w:themeColor="text2"/>
        </w:rPr>
      </w:pPr>
      <w:r w:rsidRPr="0031790F">
        <w:rPr>
          <w:rFonts w:ascii="Times New Roman" w:hAnsi="Times New Roman" w:cs="Times New Roman"/>
          <w:b/>
          <w:color w:val="1F497D" w:themeColor="text2"/>
        </w:rPr>
        <w:t>WHAT IS THE ABC?</w:t>
      </w:r>
    </w:p>
    <w:p w:rsidR="009F66F0" w:rsidRDefault="009F66F0" w:rsidP="009F6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Accounting Boot Camp (ABC) provides additional offerings of Berkeley-Haas accounting courses, including courses that are </w:t>
      </w:r>
      <w:r w:rsidRPr="00FB3C67">
        <w:rPr>
          <w:rFonts w:ascii="Times New Roman" w:hAnsi="Times New Roman" w:cs="Times New Roman"/>
          <w:b/>
          <w:color w:val="0070C0"/>
        </w:rPr>
        <w:t>brand new to the curriculum</w:t>
      </w:r>
      <w:r>
        <w:rPr>
          <w:rFonts w:ascii="Times New Roman" w:hAnsi="Times New Roman" w:cs="Times New Roman"/>
        </w:rPr>
        <w:t>, to help students meet the State of California 150 unit requirements. Over the course of the summer, students can take up to 16 additional units through the ABC (9 Accounting, 4 Ethics, and 3 that could be applied as either Accounting or Ethics units). Students can either participate in the full program or take the courses on a piecemeal basis to suit their needs.</w:t>
      </w:r>
    </w:p>
    <w:p w:rsidR="009F66F0" w:rsidRDefault="009F66F0" w:rsidP="009F6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ABC will:</w:t>
      </w:r>
    </w:p>
    <w:p w:rsidR="009F66F0" w:rsidRDefault="009F66F0" w:rsidP="009F66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students to earn academic credit for accounting courses taught at the Haas School of Business that will apply to their CPA requirements;</w:t>
      </w:r>
    </w:p>
    <w:p w:rsidR="009F66F0" w:rsidRDefault="009F66F0" w:rsidP="009F66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students the option to choose the number and type of accounting courses that they need to meet their career interests and fill the holes in their requirements;</w:t>
      </w:r>
    </w:p>
    <w:p w:rsidR="009F66F0" w:rsidRDefault="009F66F0" w:rsidP="009F66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students to start their careers without having the burden of completing additional coursework;</w:t>
      </w:r>
    </w:p>
    <w:p w:rsidR="009F66F0" w:rsidRDefault="009F66F0" w:rsidP="009F66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students to space out their CPA course requirements and meet their major course requirements throughout the rest of their time in school;</w:t>
      </w:r>
    </w:p>
    <w:p w:rsidR="009F66F0" w:rsidRDefault="009F66F0" w:rsidP="009F66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introduce</w:t>
      </w:r>
      <w:proofErr w:type="gramEnd"/>
      <w:r>
        <w:rPr>
          <w:rFonts w:ascii="Times New Roman" w:hAnsi="Times New Roman" w:cs="Times New Roman"/>
        </w:rPr>
        <w:t xml:space="preserve"> new business-minded students to the accounting profession and the related career opportunities.</w:t>
      </w:r>
    </w:p>
    <w:p w:rsidR="009F66F0" w:rsidRDefault="009F66F0" w:rsidP="009F66F0">
      <w:pPr>
        <w:jc w:val="both"/>
        <w:rPr>
          <w:rFonts w:ascii="Times New Roman" w:hAnsi="Times New Roman" w:cs="Times New Roman"/>
        </w:rPr>
      </w:pPr>
    </w:p>
    <w:p w:rsidR="009F66F0" w:rsidRPr="00294AEB" w:rsidRDefault="009F66F0" w:rsidP="009F6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 t</w:t>
      </w:r>
      <w:r w:rsidRPr="00294AEB">
        <w:rPr>
          <w:rFonts w:ascii="Times New Roman" w:hAnsi="Times New Roman" w:cs="Times New Roman"/>
        </w:rPr>
        <w:t>he ABC Program will include various career-oriented activities to introduce students to the opportunities w</w:t>
      </w:r>
      <w:r>
        <w:rPr>
          <w:rFonts w:ascii="Times New Roman" w:hAnsi="Times New Roman" w:cs="Times New Roman"/>
        </w:rPr>
        <w:t xml:space="preserve">ithin the accounting profession, such as seminars on starting your career on the right trajectory and </w:t>
      </w:r>
      <w:r w:rsidR="0016079A">
        <w:rPr>
          <w:rFonts w:ascii="Times New Roman" w:hAnsi="Times New Roman" w:cs="Times New Roman"/>
        </w:rPr>
        <w:t>meeting the CFO of the Oakland A’s baseball team (along with attending an A’s game).</w:t>
      </w:r>
    </w:p>
    <w:p w:rsidR="009F66F0" w:rsidRPr="0031790F" w:rsidRDefault="009F66F0" w:rsidP="009F66F0">
      <w:pPr>
        <w:jc w:val="both"/>
        <w:rPr>
          <w:rFonts w:ascii="Times New Roman" w:hAnsi="Times New Roman" w:cs="Times New Roman"/>
          <w:b/>
          <w:i/>
          <w:color w:val="1F497D" w:themeColor="text2"/>
        </w:rPr>
      </w:pPr>
      <w:r w:rsidRPr="0031790F">
        <w:rPr>
          <w:rFonts w:ascii="Times New Roman" w:hAnsi="Times New Roman" w:cs="Times New Roman"/>
          <w:b/>
          <w:i/>
          <w:color w:val="1F497D" w:themeColor="text2"/>
        </w:rPr>
        <w:t>Curriculum and Instructors</w:t>
      </w:r>
    </w:p>
    <w:p w:rsidR="007302C8" w:rsidRDefault="009F66F0" w:rsidP="007302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professors in the ABC all have a long association with the Haas School of Business and all bring to the classroom a stimulating mix of the theory and practice of accounting.</w:t>
      </w:r>
      <w:r w:rsidR="007302C8">
        <w:rPr>
          <w:rFonts w:ascii="Times New Roman" w:hAnsi="Times New Roman" w:cs="Times New Roman"/>
        </w:rPr>
        <w:t xml:space="preserve"> The following course schedule is tentative, but will be finalized by January 1, 2013.</w:t>
      </w:r>
    </w:p>
    <w:p w:rsidR="007302C8" w:rsidRPr="0031790F" w:rsidRDefault="007302C8" w:rsidP="007302C8">
      <w:pPr>
        <w:spacing w:after="0"/>
        <w:jc w:val="both"/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</w:pPr>
      <w:r w:rsidRPr="0031790F"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 xml:space="preserve">Summer Session </w:t>
      </w:r>
      <w:r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 xml:space="preserve">A – Six Weeks </w:t>
      </w:r>
      <w:r w:rsidRPr="0031790F"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>(May 2</w:t>
      </w:r>
      <w:r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>8</w:t>
      </w:r>
      <w:r w:rsidRPr="0031790F"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 xml:space="preserve"> to Ju</w:t>
      </w:r>
      <w:r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>ly 3</w:t>
      </w:r>
      <w:r w:rsidRPr="0031790F"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>, 201</w:t>
      </w:r>
      <w:r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>3</w:t>
      </w:r>
      <w:r w:rsidRPr="0031790F"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>)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638"/>
        <w:gridCol w:w="3690"/>
        <w:gridCol w:w="1260"/>
        <w:gridCol w:w="720"/>
        <w:gridCol w:w="2250"/>
      </w:tblGrid>
      <w:tr w:rsidR="007302C8" w:rsidRPr="0031790F" w:rsidTr="00DB7B22">
        <w:tc>
          <w:tcPr>
            <w:tcW w:w="1638" w:type="dxa"/>
            <w:shd w:val="clear" w:color="auto" w:fill="C6D9F1" w:themeFill="text2" w:themeFillTint="33"/>
          </w:tcPr>
          <w:p w:rsidR="007302C8" w:rsidRPr="0031790F" w:rsidRDefault="007302C8" w:rsidP="007302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790F">
              <w:rPr>
                <w:rFonts w:ascii="Times New Roman" w:hAnsi="Times New Roman" w:cs="Times New Roman"/>
                <w:b/>
                <w:sz w:val="20"/>
                <w:szCs w:val="20"/>
              </w:rPr>
              <w:t>Course Number</w:t>
            </w:r>
          </w:p>
        </w:tc>
        <w:tc>
          <w:tcPr>
            <w:tcW w:w="3690" w:type="dxa"/>
            <w:shd w:val="clear" w:color="auto" w:fill="C6D9F1" w:themeFill="text2" w:themeFillTint="33"/>
          </w:tcPr>
          <w:p w:rsidR="007302C8" w:rsidRPr="0031790F" w:rsidRDefault="007302C8" w:rsidP="00884C4D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790F">
              <w:rPr>
                <w:rFonts w:ascii="Times New Roman" w:hAnsi="Times New Roman" w:cs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:rsidR="007302C8" w:rsidRPr="0031790F" w:rsidRDefault="007302C8" w:rsidP="00884C4D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790F">
              <w:rPr>
                <w:rFonts w:ascii="Times New Roman" w:hAnsi="Times New Roman" w:cs="Times New Roman"/>
                <w:b/>
                <w:sz w:val="20"/>
                <w:szCs w:val="20"/>
              </w:rPr>
              <w:t>Instructor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7302C8" w:rsidRPr="0031790F" w:rsidRDefault="007302C8" w:rsidP="00884C4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790F">
              <w:rPr>
                <w:rFonts w:ascii="Times New Roman" w:hAnsi="Times New Roman" w:cs="Times New Roman"/>
                <w:b/>
                <w:sz w:val="20"/>
                <w:szCs w:val="20"/>
              </w:rPr>
              <w:t>Units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7302C8" w:rsidRPr="0031790F" w:rsidRDefault="007302C8" w:rsidP="00884C4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790F">
              <w:rPr>
                <w:rFonts w:ascii="Times New Roman" w:hAnsi="Times New Roman" w:cs="Times New Roman"/>
                <w:b/>
                <w:sz w:val="20"/>
                <w:szCs w:val="20"/>
              </w:rPr>
              <w:t>Day &amp; Time</w:t>
            </w:r>
          </w:p>
        </w:tc>
      </w:tr>
      <w:tr w:rsidR="007302C8" w:rsidTr="00DB7B22">
        <w:tc>
          <w:tcPr>
            <w:tcW w:w="1638" w:type="dxa"/>
          </w:tcPr>
          <w:p w:rsidR="007302C8" w:rsidRDefault="007302C8" w:rsidP="00884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UGBA 127-1</w:t>
            </w:r>
          </w:p>
        </w:tc>
        <w:tc>
          <w:tcPr>
            <w:tcW w:w="3690" w:type="dxa"/>
          </w:tcPr>
          <w:p w:rsidR="007302C8" w:rsidRDefault="00DB7B22" w:rsidP="00884C4D">
            <w:pPr>
              <w:rPr>
                <w:rFonts w:ascii="Times New Roman" w:hAnsi="Times New Roman" w:cs="Times New Roman"/>
              </w:rPr>
            </w:pPr>
            <w:r w:rsidRPr="00DB7B22">
              <w:rPr>
                <w:rFonts w:ascii="Times New Roman" w:hAnsi="Times New Roman" w:cs="Times New Roman"/>
              </w:rPr>
              <w:t>International Financial Reporting</w:t>
            </w:r>
          </w:p>
          <w:p w:rsidR="00DB7B22" w:rsidRDefault="00DB7B22" w:rsidP="00884C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302C8" w:rsidRDefault="00DB7B22" w:rsidP="00884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Nondorf</w:t>
            </w:r>
          </w:p>
        </w:tc>
        <w:tc>
          <w:tcPr>
            <w:tcW w:w="720" w:type="dxa"/>
          </w:tcPr>
          <w:p w:rsidR="007302C8" w:rsidRDefault="00DB7B22" w:rsidP="00884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</w:tcPr>
          <w:p w:rsidR="00DB7B22" w:rsidRDefault="00DB7B22" w:rsidP="00DB7B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M/W/F 10</w:t>
            </w:r>
            <w:r w:rsidR="007302C8" w:rsidRPr="00F70114">
              <w:rPr>
                <w:rFonts w:ascii="Times New Roman" w:hAnsi="Times New Roman" w:cs="Times New Roman"/>
                <w:sz w:val="20"/>
                <w:szCs w:val="20"/>
              </w:rPr>
              <w:t>:30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</w:t>
            </w:r>
            <w:r w:rsidR="007302C8" w:rsidRPr="00F7011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</w:p>
          <w:p w:rsidR="007302C8" w:rsidRPr="00F70114" w:rsidRDefault="00DB7B22" w:rsidP="00DB7B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 p</w:t>
            </w:r>
            <w:r w:rsidR="007302C8" w:rsidRPr="00F7011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7302C8" w:rsidTr="00DB7B22">
        <w:tc>
          <w:tcPr>
            <w:tcW w:w="1638" w:type="dxa"/>
          </w:tcPr>
          <w:p w:rsidR="007302C8" w:rsidRDefault="007302C8" w:rsidP="00884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UGBA 127-2</w:t>
            </w:r>
          </w:p>
        </w:tc>
        <w:tc>
          <w:tcPr>
            <w:tcW w:w="3690" w:type="dxa"/>
          </w:tcPr>
          <w:p w:rsidR="007302C8" w:rsidRDefault="00DB7B22" w:rsidP="00884C4D">
            <w:pPr>
              <w:rPr>
                <w:rFonts w:ascii="Times New Roman" w:hAnsi="Times New Roman" w:cs="Times New Roman"/>
              </w:rPr>
            </w:pPr>
            <w:r w:rsidRPr="00DB7B22">
              <w:rPr>
                <w:rFonts w:ascii="Times New Roman" w:hAnsi="Times New Roman" w:cs="Times New Roman"/>
              </w:rPr>
              <w:t>Ethics in Financial Reporting and Reporting for Sustainability</w:t>
            </w:r>
          </w:p>
        </w:tc>
        <w:tc>
          <w:tcPr>
            <w:tcW w:w="1260" w:type="dxa"/>
          </w:tcPr>
          <w:p w:rsidR="007302C8" w:rsidRDefault="00DB7B22" w:rsidP="00884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Berde</w:t>
            </w:r>
          </w:p>
        </w:tc>
        <w:tc>
          <w:tcPr>
            <w:tcW w:w="720" w:type="dxa"/>
          </w:tcPr>
          <w:p w:rsidR="007302C8" w:rsidRDefault="00DB7B22" w:rsidP="00884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:rsidR="007302C8" w:rsidRPr="00F70114" w:rsidRDefault="00ED2A8A" w:rsidP="00884C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Tu/Th</w:t>
            </w:r>
            <w:r w:rsidR="00DB7B22">
              <w:rPr>
                <w:rFonts w:ascii="Times New Roman" w:hAnsi="Times New Roman" w:cs="Times New Roman"/>
                <w:sz w:val="20"/>
                <w:szCs w:val="20"/>
              </w:rPr>
              <w:t xml:space="preserve"> 8:00 - 10:30 a</w:t>
            </w:r>
            <w:r w:rsidR="007302C8" w:rsidRPr="00F7011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</w:tr>
    </w:tbl>
    <w:p w:rsidR="00DB7B22" w:rsidRDefault="00DB7B22" w:rsidP="009F66F0">
      <w:pPr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</w:pPr>
    </w:p>
    <w:p w:rsidR="009F66F0" w:rsidRPr="0031790F" w:rsidRDefault="009F66F0" w:rsidP="009F66F0">
      <w:pPr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</w:pPr>
      <w:r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lastRenderedPageBreak/>
        <w:t xml:space="preserve">Summer Session D – Six Weeks (July </w:t>
      </w:r>
      <w:r w:rsidR="00F70114"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>8</w:t>
      </w:r>
      <w:r w:rsidRPr="0031790F"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 xml:space="preserve"> to </w:t>
      </w:r>
      <w:r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>August 1</w:t>
      </w:r>
      <w:r w:rsidR="00F70114"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>6</w:t>
      </w:r>
      <w:r w:rsidRPr="0031790F"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>, 201</w:t>
      </w:r>
      <w:r w:rsidR="00F70114"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>3</w:t>
      </w:r>
      <w:r w:rsidRPr="0031790F">
        <w:rPr>
          <w:rFonts w:ascii="Times New Roman" w:hAnsi="Times New Roman" w:cs="Times New Roman"/>
          <w:b/>
          <w:i/>
          <w:color w:val="1F497D" w:themeColor="text2"/>
          <w:sz w:val="20"/>
          <w:szCs w:val="20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3690"/>
        <w:gridCol w:w="1350"/>
        <w:gridCol w:w="720"/>
        <w:gridCol w:w="2178"/>
      </w:tblGrid>
      <w:tr w:rsidR="009F66F0" w:rsidRPr="0031790F" w:rsidTr="00884C4D">
        <w:tc>
          <w:tcPr>
            <w:tcW w:w="1638" w:type="dxa"/>
            <w:shd w:val="clear" w:color="auto" w:fill="C6D9F1" w:themeFill="text2" w:themeFillTint="33"/>
          </w:tcPr>
          <w:p w:rsidR="009F66F0" w:rsidRPr="0031790F" w:rsidRDefault="009F66F0" w:rsidP="00884C4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790F">
              <w:rPr>
                <w:rFonts w:ascii="Times New Roman" w:hAnsi="Times New Roman" w:cs="Times New Roman"/>
                <w:b/>
                <w:sz w:val="20"/>
                <w:szCs w:val="20"/>
              </w:rPr>
              <w:t>Course Number</w:t>
            </w:r>
          </w:p>
        </w:tc>
        <w:tc>
          <w:tcPr>
            <w:tcW w:w="3690" w:type="dxa"/>
            <w:shd w:val="clear" w:color="auto" w:fill="C6D9F1" w:themeFill="text2" w:themeFillTint="33"/>
          </w:tcPr>
          <w:p w:rsidR="009F66F0" w:rsidRPr="0031790F" w:rsidRDefault="009F66F0" w:rsidP="00884C4D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790F">
              <w:rPr>
                <w:rFonts w:ascii="Times New Roman" w:hAnsi="Times New Roman" w:cs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9F66F0" w:rsidRPr="0031790F" w:rsidRDefault="009F66F0" w:rsidP="00884C4D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790F">
              <w:rPr>
                <w:rFonts w:ascii="Times New Roman" w:hAnsi="Times New Roman" w:cs="Times New Roman"/>
                <w:b/>
                <w:sz w:val="20"/>
                <w:szCs w:val="20"/>
              </w:rPr>
              <w:t>Instructor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9F66F0" w:rsidRPr="0031790F" w:rsidRDefault="009F66F0" w:rsidP="00884C4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790F">
              <w:rPr>
                <w:rFonts w:ascii="Times New Roman" w:hAnsi="Times New Roman" w:cs="Times New Roman"/>
                <w:b/>
                <w:sz w:val="20"/>
                <w:szCs w:val="20"/>
              </w:rPr>
              <w:t>Units</w:t>
            </w:r>
          </w:p>
        </w:tc>
        <w:tc>
          <w:tcPr>
            <w:tcW w:w="2178" w:type="dxa"/>
            <w:shd w:val="clear" w:color="auto" w:fill="C6D9F1" w:themeFill="text2" w:themeFillTint="33"/>
          </w:tcPr>
          <w:p w:rsidR="009F66F0" w:rsidRPr="0031790F" w:rsidRDefault="009F66F0" w:rsidP="00884C4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790F">
              <w:rPr>
                <w:rFonts w:ascii="Times New Roman" w:hAnsi="Times New Roman" w:cs="Times New Roman"/>
                <w:b/>
                <w:sz w:val="20"/>
                <w:szCs w:val="20"/>
              </w:rPr>
              <w:t>Day &amp; Time</w:t>
            </w:r>
          </w:p>
        </w:tc>
      </w:tr>
      <w:tr w:rsidR="00F70114" w:rsidTr="00884C4D">
        <w:tc>
          <w:tcPr>
            <w:tcW w:w="1638" w:type="dxa"/>
            <w:tcBorders>
              <w:bottom w:val="single" w:sz="4" w:space="0" w:color="auto"/>
            </w:tcBorders>
          </w:tcPr>
          <w:p w:rsidR="00F70114" w:rsidRDefault="00DB7B22" w:rsidP="00305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UGBA 127-3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F70114" w:rsidRDefault="00DB7B22" w:rsidP="0030590A">
            <w:pPr>
              <w:rPr>
                <w:rFonts w:ascii="Times New Roman" w:hAnsi="Times New Roman" w:cs="Times New Roman"/>
              </w:rPr>
            </w:pPr>
            <w:r w:rsidRPr="00DB7B22">
              <w:rPr>
                <w:rFonts w:ascii="Times New Roman" w:hAnsi="Times New Roman" w:cs="Times New Roman"/>
              </w:rPr>
              <w:t>Fraud and Forensics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F70114" w:rsidRDefault="00F70114" w:rsidP="00305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Berde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70114" w:rsidRDefault="00F70114" w:rsidP="00305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:rsidR="00F70114" w:rsidRDefault="00ED2A8A" w:rsidP="003059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Tu/Th</w:t>
            </w:r>
            <w:r w:rsidR="00DB7B22">
              <w:rPr>
                <w:rFonts w:ascii="Times New Roman" w:hAnsi="Times New Roman" w:cs="Times New Roman"/>
                <w:sz w:val="20"/>
                <w:szCs w:val="20"/>
              </w:rPr>
              <w:t xml:space="preserve"> 8:</w:t>
            </w:r>
            <w:r w:rsidR="0000114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DB7B22">
              <w:rPr>
                <w:rFonts w:ascii="Times New Roman" w:hAnsi="Times New Roman" w:cs="Times New Roman"/>
                <w:sz w:val="20"/>
                <w:szCs w:val="20"/>
              </w:rPr>
              <w:t>0-10:3</w:t>
            </w:r>
            <w:r w:rsidR="00F70114" w:rsidRPr="0030590A">
              <w:rPr>
                <w:rFonts w:ascii="Times New Roman" w:hAnsi="Times New Roman" w:cs="Times New Roman"/>
                <w:sz w:val="20"/>
                <w:szCs w:val="20"/>
              </w:rPr>
              <w:t>0 am</w:t>
            </w:r>
          </w:p>
          <w:p w:rsidR="00E44813" w:rsidRPr="0030590A" w:rsidRDefault="00E44813" w:rsidP="003059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114" w:rsidTr="00884C4D">
        <w:tc>
          <w:tcPr>
            <w:tcW w:w="1638" w:type="dxa"/>
            <w:shd w:val="clear" w:color="auto" w:fill="auto"/>
          </w:tcPr>
          <w:p w:rsidR="00F70114" w:rsidRDefault="00DB7B22" w:rsidP="00305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UGBA 127-4</w:t>
            </w:r>
          </w:p>
        </w:tc>
        <w:tc>
          <w:tcPr>
            <w:tcW w:w="3690" w:type="dxa"/>
            <w:shd w:val="clear" w:color="auto" w:fill="auto"/>
          </w:tcPr>
          <w:p w:rsidR="00F70114" w:rsidRDefault="00DB7B22" w:rsidP="0030590A">
            <w:pPr>
              <w:rPr>
                <w:rFonts w:ascii="Times New Roman" w:hAnsi="Times New Roman" w:cs="Times New Roman"/>
              </w:rPr>
            </w:pPr>
            <w:r w:rsidRPr="00DB7B22">
              <w:rPr>
                <w:rFonts w:ascii="Times New Roman" w:hAnsi="Times New Roman" w:cs="Times New Roman"/>
              </w:rPr>
              <w:t>Financial Reporting and Valuation</w:t>
            </w:r>
          </w:p>
        </w:tc>
        <w:tc>
          <w:tcPr>
            <w:tcW w:w="1350" w:type="dxa"/>
            <w:shd w:val="clear" w:color="auto" w:fill="auto"/>
          </w:tcPr>
          <w:p w:rsidR="00F70114" w:rsidRDefault="00F70114" w:rsidP="00305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Briginshaw</w:t>
            </w:r>
          </w:p>
        </w:tc>
        <w:tc>
          <w:tcPr>
            <w:tcW w:w="720" w:type="dxa"/>
            <w:shd w:val="clear" w:color="auto" w:fill="auto"/>
          </w:tcPr>
          <w:p w:rsidR="00F70114" w:rsidRDefault="00DB7B22" w:rsidP="00305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78" w:type="dxa"/>
            <w:shd w:val="clear" w:color="auto" w:fill="auto"/>
          </w:tcPr>
          <w:p w:rsidR="00DB7B22" w:rsidRDefault="00DB7B22" w:rsidP="003059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Tu/</w:t>
            </w:r>
            <w:r w:rsidR="00ED2A8A"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r w:rsidR="00F70114" w:rsidRPr="003059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70114" w:rsidRPr="0030590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70114" w:rsidRPr="0030590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0590A" w:rsidRPr="0030590A">
              <w:rPr>
                <w:rFonts w:ascii="Times New Roman" w:hAnsi="Times New Roman" w:cs="Times New Roman"/>
                <w:sz w:val="20"/>
                <w:szCs w:val="20"/>
              </w:rPr>
              <w:t xml:space="preserve"> 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  <w:p w:rsidR="00F70114" w:rsidRPr="0030590A" w:rsidRDefault="00DB7B22" w:rsidP="003059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0590A" w:rsidRPr="0030590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F70114" w:rsidRPr="0030590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0590A" w:rsidRPr="0030590A">
              <w:rPr>
                <w:rFonts w:ascii="Times New Roman" w:hAnsi="Times New Roman" w:cs="Times New Roman"/>
                <w:sz w:val="20"/>
                <w:szCs w:val="20"/>
              </w:rPr>
              <w:t xml:space="preserve"> pm</w:t>
            </w:r>
          </w:p>
        </w:tc>
      </w:tr>
      <w:tr w:rsidR="00F70114" w:rsidTr="00884C4D"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:rsidR="00F70114" w:rsidRDefault="00F70114" w:rsidP="00305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UGBA 12</w:t>
            </w:r>
            <w:r w:rsidR="00DB7B22">
              <w:rPr>
                <w:rFonts w:ascii="Times New Roman" w:hAnsi="Times New Roman" w:cs="Times New Roman"/>
              </w:rPr>
              <w:t>7-5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shd w:val="clear" w:color="auto" w:fill="auto"/>
          </w:tcPr>
          <w:p w:rsidR="00F70114" w:rsidRDefault="00DB7B22" w:rsidP="0030590A">
            <w:pPr>
              <w:rPr>
                <w:rFonts w:ascii="Times New Roman" w:hAnsi="Times New Roman" w:cs="Times New Roman"/>
              </w:rPr>
            </w:pPr>
            <w:r w:rsidRPr="00DB7B22">
              <w:rPr>
                <w:rFonts w:ascii="Times New Roman" w:hAnsi="Times New Roman" w:cs="Times New Roman"/>
              </w:rPr>
              <w:t>Taxation of Legal Entities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70114" w:rsidRDefault="00DB7B22" w:rsidP="00305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Hutchinson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70114" w:rsidRDefault="0030590A" w:rsidP="00305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auto"/>
          </w:tcPr>
          <w:p w:rsidR="00E44813" w:rsidRDefault="00F70114" w:rsidP="003059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90A">
              <w:rPr>
                <w:rFonts w:ascii="Times New Roman" w:hAnsi="Times New Roman" w:cs="Times New Roman"/>
                <w:sz w:val="20"/>
                <w:szCs w:val="20"/>
              </w:rPr>
              <w:t>M/W/</w:t>
            </w:r>
            <w:r w:rsidR="00E44813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3059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4813">
              <w:rPr>
                <w:rFonts w:ascii="Times New Roman" w:hAnsi="Times New Roman" w:cs="Times New Roman"/>
                <w:sz w:val="20"/>
                <w:szCs w:val="20"/>
              </w:rPr>
              <w:t>10:3</w:t>
            </w:r>
            <w:r w:rsidRPr="0030590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44813">
              <w:rPr>
                <w:rFonts w:ascii="Times New Roman" w:hAnsi="Times New Roman" w:cs="Times New Roman"/>
                <w:sz w:val="20"/>
                <w:szCs w:val="20"/>
              </w:rPr>
              <w:t>am-</w:t>
            </w:r>
          </w:p>
          <w:p w:rsidR="00F70114" w:rsidRPr="0030590A" w:rsidRDefault="00E44813" w:rsidP="003059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</w:t>
            </w:r>
            <w:r w:rsidR="00F70114" w:rsidRPr="0030590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0590A" w:rsidRPr="0030590A">
              <w:rPr>
                <w:rFonts w:ascii="Times New Roman" w:hAnsi="Times New Roman" w:cs="Times New Roman"/>
                <w:sz w:val="20"/>
                <w:szCs w:val="20"/>
              </w:rPr>
              <w:t xml:space="preserve"> pm</w:t>
            </w:r>
          </w:p>
        </w:tc>
      </w:tr>
    </w:tbl>
    <w:p w:rsidR="009F66F0" w:rsidRDefault="009F66F0" w:rsidP="0030590A">
      <w:pPr>
        <w:rPr>
          <w:rFonts w:ascii="Times New Roman" w:hAnsi="Times New Roman" w:cs="Times New Roman"/>
        </w:rPr>
      </w:pPr>
    </w:p>
    <w:p w:rsidR="0030590A" w:rsidRPr="0042664B" w:rsidRDefault="0030590A" w:rsidP="0030590A">
      <w:pPr>
        <w:rPr>
          <w:rFonts w:ascii="Times New Roman" w:hAnsi="Times New Roman" w:cs="Times New Roman"/>
          <w:b/>
          <w:color w:val="1F497D" w:themeColor="text2"/>
        </w:rPr>
      </w:pPr>
      <w:r w:rsidRPr="0042664B">
        <w:rPr>
          <w:rFonts w:ascii="Times New Roman" w:hAnsi="Times New Roman" w:cs="Times New Roman"/>
          <w:b/>
          <w:color w:val="1F497D" w:themeColor="text2"/>
        </w:rPr>
        <w:t>REGISTRATION and FEES</w:t>
      </w:r>
    </w:p>
    <w:p w:rsidR="0030590A" w:rsidRDefault="0030590A" w:rsidP="003059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space is available for UC Berkeley and non-UC Berkeley students. </w:t>
      </w:r>
      <w:r w:rsidR="007302C8">
        <w:rPr>
          <w:rFonts w:ascii="Times New Roman" w:hAnsi="Times New Roman" w:cs="Times New Roman"/>
        </w:rPr>
        <w:t xml:space="preserve">There is open enrollment for the courses. </w:t>
      </w:r>
      <w:r>
        <w:rPr>
          <w:rFonts w:ascii="Times New Roman" w:hAnsi="Times New Roman" w:cs="Times New Roman"/>
        </w:rPr>
        <w:t xml:space="preserve">Please see the UC Berkeley Summer Sessions website for registration procedures:  </w:t>
      </w:r>
      <w:hyperlink r:id="rId11" w:history="1">
        <w:r w:rsidRPr="00E121F1">
          <w:rPr>
            <w:rStyle w:val="Hyperlink"/>
            <w:rFonts w:ascii="Times New Roman" w:hAnsi="Times New Roman" w:cs="Times New Roman"/>
          </w:rPr>
          <w:t>http://summer.berkeley.edu</w:t>
        </w:r>
      </w:hyperlink>
      <w:r>
        <w:t xml:space="preserve"> .</w:t>
      </w:r>
    </w:p>
    <w:p w:rsidR="0030590A" w:rsidRDefault="0030590A" w:rsidP="007302C8">
      <w:pPr>
        <w:spacing w:after="0"/>
        <w:rPr>
          <w:rFonts w:ascii="Times New Roman" w:hAnsi="Times New Roman" w:cs="Times New Roman"/>
        </w:rPr>
      </w:pPr>
      <w:r w:rsidRPr="0042664B">
        <w:rPr>
          <w:rFonts w:ascii="Times New Roman" w:hAnsi="Times New Roman" w:cs="Times New Roman"/>
          <w:b/>
          <w:i/>
          <w:color w:val="1F497D" w:themeColor="text2"/>
        </w:rPr>
        <w:t>201</w:t>
      </w:r>
      <w:r w:rsidR="007302C8">
        <w:rPr>
          <w:rFonts w:ascii="Times New Roman" w:hAnsi="Times New Roman" w:cs="Times New Roman"/>
          <w:b/>
          <w:i/>
          <w:color w:val="1F497D" w:themeColor="text2"/>
        </w:rPr>
        <w:t>3</w:t>
      </w:r>
      <w:r w:rsidRPr="0042664B">
        <w:rPr>
          <w:rFonts w:ascii="Times New Roman" w:hAnsi="Times New Roman" w:cs="Times New Roman"/>
          <w:b/>
          <w:i/>
          <w:color w:val="1F497D" w:themeColor="text2"/>
        </w:rPr>
        <w:t xml:space="preserve"> Fees</w:t>
      </w:r>
      <w:r>
        <w:rPr>
          <w:rFonts w:ascii="Times New Roman" w:hAnsi="Times New Roman" w:cs="Times New Roman"/>
        </w:rPr>
        <w:t xml:space="preserve"> </w:t>
      </w:r>
    </w:p>
    <w:p w:rsidR="0030590A" w:rsidRDefault="0030590A" w:rsidP="007302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 Student Fees:</w:t>
      </w:r>
      <w:r w:rsidR="007302C8">
        <w:rPr>
          <w:rStyle w:val="FootnoteReference"/>
          <w:rFonts w:ascii="Times New Roman" w:hAnsi="Times New Roman" w:cs="Times New Roman"/>
        </w:rPr>
        <w:footnoteReference w:id="1"/>
      </w:r>
    </w:p>
    <w:p w:rsidR="0030590A" w:rsidRDefault="0030590A" w:rsidP="007302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Students - $406 per unit</w:t>
      </w:r>
    </w:p>
    <w:p w:rsidR="0030590A" w:rsidRDefault="0030590A" w:rsidP="007302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Graduate Students - $510 per unit</w:t>
      </w:r>
    </w:p>
    <w:p w:rsidR="0030590A" w:rsidRDefault="0030590A" w:rsidP="007302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UC Students - $1</w:t>
      </w:r>
      <w:r w:rsidR="007302C8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</w:rPr>
        <w:t xml:space="preserve"> one-time Campus Fee (for ASUC, Student Services)</w:t>
      </w:r>
    </w:p>
    <w:p w:rsidR="0030590A" w:rsidRDefault="0030590A" w:rsidP="007302C8">
      <w:pPr>
        <w:spacing w:after="0"/>
        <w:rPr>
          <w:rFonts w:ascii="Times New Roman" w:hAnsi="Times New Roman" w:cs="Times New Roman"/>
        </w:rPr>
      </w:pPr>
    </w:p>
    <w:p w:rsidR="0030590A" w:rsidRDefault="0030590A" w:rsidP="007302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Visiting Student Fees:</w:t>
      </w:r>
    </w:p>
    <w:p w:rsidR="0030590A" w:rsidRDefault="0030590A" w:rsidP="007302C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Students - $</w:t>
      </w:r>
      <w:r w:rsidR="007302C8">
        <w:rPr>
          <w:rFonts w:ascii="Times New Roman" w:hAnsi="Times New Roman" w:cs="Times New Roman"/>
        </w:rPr>
        <w:t>430</w:t>
      </w:r>
      <w:r>
        <w:rPr>
          <w:rFonts w:ascii="Times New Roman" w:hAnsi="Times New Roman" w:cs="Times New Roman"/>
        </w:rPr>
        <w:t xml:space="preserve"> per unit, plus $335 Summer 201</w:t>
      </w:r>
      <w:r w:rsidR="007302C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Enrollment fee, plus $50 one-time document management fee</w:t>
      </w:r>
    </w:p>
    <w:p w:rsidR="0030590A" w:rsidRDefault="0030590A" w:rsidP="007302C8">
      <w:pPr>
        <w:spacing w:after="0"/>
        <w:rPr>
          <w:rFonts w:ascii="Times New Roman" w:hAnsi="Times New Roman" w:cs="Times New Roman"/>
        </w:rPr>
      </w:pPr>
    </w:p>
    <w:p w:rsidR="0030590A" w:rsidRDefault="0030590A" w:rsidP="007302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Visiting Student Fees</w:t>
      </w:r>
    </w:p>
    <w:p w:rsidR="0030590A" w:rsidRDefault="0030590A" w:rsidP="007302C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Students - $4</w:t>
      </w:r>
      <w:r w:rsidR="007302C8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per unit, plus $335 Summer 201</w:t>
      </w:r>
      <w:r w:rsidR="007302C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Enrollment fee, plus $50 one-time document management fee, plus $300 International Service Fee</w:t>
      </w:r>
    </w:p>
    <w:p w:rsidR="0030590A" w:rsidRDefault="0030590A" w:rsidP="007302C8">
      <w:pPr>
        <w:spacing w:after="0"/>
        <w:rPr>
          <w:rFonts w:ascii="Times New Roman" w:hAnsi="Times New Roman" w:cs="Times New Roman"/>
        </w:rPr>
      </w:pPr>
    </w:p>
    <w:p w:rsidR="0030590A" w:rsidRPr="0042664B" w:rsidRDefault="0030590A" w:rsidP="007302C8">
      <w:pPr>
        <w:spacing w:after="0"/>
        <w:rPr>
          <w:rFonts w:ascii="Times New Roman" w:hAnsi="Times New Roman" w:cs="Times New Roman"/>
          <w:b/>
          <w:color w:val="1F497D" w:themeColor="text2"/>
        </w:rPr>
      </w:pPr>
      <w:r w:rsidRPr="0042664B">
        <w:rPr>
          <w:rFonts w:ascii="Times New Roman" w:hAnsi="Times New Roman" w:cs="Times New Roman"/>
          <w:b/>
          <w:color w:val="1F497D" w:themeColor="text2"/>
        </w:rPr>
        <w:t>IMPORTANT DATES</w:t>
      </w:r>
    </w:p>
    <w:p w:rsidR="007302C8" w:rsidRDefault="0030590A" w:rsidP="007302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</w:t>
      </w:r>
      <w:r w:rsidR="007302C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, 201</w:t>
      </w:r>
      <w:r w:rsidR="007302C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 </w:t>
      </w:r>
      <w:proofErr w:type="spellStart"/>
      <w:r>
        <w:rPr>
          <w:rFonts w:ascii="Times New Roman" w:hAnsi="Times New Roman" w:cs="Times New Roman"/>
        </w:rPr>
        <w:t>TeleBEARS</w:t>
      </w:r>
      <w:proofErr w:type="spellEnd"/>
      <w:r>
        <w:rPr>
          <w:rFonts w:ascii="Times New Roman" w:hAnsi="Times New Roman" w:cs="Times New Roman"/>
        </w:rPr>
        <w:t xml:space="preserve"> registration for UC Berkeley students begins</w:t>
      </w:r>
    </w:p>
    <w:p w:rsidR="0030590A" w:rsidRDefault="007302C8" w:rsidP="007302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19, 2013</w:t>
      </w:r>
      <w:r w:rsidR="0030590A">
        <w:rPr>
          <w:rFonts w:ascii="Times New Roman" w:hAnsi="Times New Roman" w:cs="Times New Roman"/>
        </w:rPr>
        <w:t>: Registration for non-UC Berkeley students begins</w:t>
      </w:r>
    </w:p>
    <w:p w:rsidR="0030590A" w:rsidRDefault="007302C8" w:rsidP="007302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28</w:t>
      </w:r>
      <w:r w:rsidR="0030590A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3</w:t>
      </w:r>
      <w:r w:rsidR="0030590A">
        <w:rPr>
          <w:rFonts w:ascii="Times New Roman" w:hAnsi="Times New Roman" w:cs="Times New Roman"/>
        </w:rPr>
        <w:t xml:space="preserve">: Summer Session </w:t>
      </w:r>
      <w:proofErr w:type="gramStart"/>
      <w:r w:rsidR="0030590A">
        <w:rPr>
          <w:rFonts w:ascii="Times New Roman" w:hAnsi="Times New Roman" w:cs="Times New Roman"/>
        </w:rPr>
        <w:t>A</w:t>
      </w:r>
      <w:proofErr w:type="gramEnd"/>
      <w:r w:rsidR="0030590A">
        <w:rPr>
          <w:rFonts w:ascii="Times New Roman" w:hAnsi="Times New Roman" w:cs="Times New Roman"/>
        </w:rPr>
        <w:t xml:space="preserve"> six-week session begins</w:t>
      </w:r>
    </w:p>
    <w:p w:rsidR="0030590A" w:rsidRDefault="0030590A" w:rsidP="007302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July </w:t>
      </w:r>
      <w:r w:rsidR="007302C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, 201</w:t>
      </w:r>
      <w:r w:rsidR="007302C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 Summer Session D six-week session begins</w:t>
      </w:r>
    </w:p>
    <w:p w:rsidR="0030590A" w:rsidRDefault="0030590A" w:rsidP="007302C8">
      <w:pPr>
        <w:spacing w:after="0"/>
        <w:rPr>
          <w:rFonts w:ascii="Times New Roman" w:hAnsi="Times New Roman" w:cs="Times New Roman"/>
        </w:rPr>
      </w:pPr>
    </w:p>
    <w:p w:rsidR="0030590A" w:rsidRPr="0042664B" w:rsidRDefault="0030590A" w:rsidP="007302C8">
      <w:pPr>
        <w:spacing w:after="0"/>
        <w:rPr>
          <w:rFonts w:ascii="Times New Roman" w:hAnsi="Times New Roman" w:cs="Times New Roman"/>
          <w:b/>
          <w:color w:val="1F497D" w:themeColor="text2"/>
        </w:rPr>
      </w:pPr>
      <w:r w:rsidRPr="0042664B">
        <w:rPr>
          <w:rFonts w:ascii="Times New Roman" w:hAnsi="Times New Roman" w:cs="Times New Roman"/>
          <w:b/>
          <w:color w:val="1F497D" w:themeColor="text2"/>
        </w:rPr>
        <w:t>ADDITIONAL INFORMATION</w:t>
      </w:r>
    </w:p>
    <w:p w:rsidR="0030590A" w:rsidRDefault="0030590A" w:rsidP="007302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additional questions or need more information regarding accounting course pathways and meeting the State of California CPA course requirements, contact the Center for Financial Reporting &amp; Management at </w:t>
      </w:r>
      <w:hyperlink r:id="rId12" w:history="1">
        <w:r w:rsidRPr="00993B22">
          <w:rPr>
            <w:rStyle w:val="Hyperlink"/>
            <w:rFonts w:ascii="Times New Roman" w:hAnsi="Times New Roman" w:cs="Times New Roman"/>
          </w:rPr>
          <w:t>cfrm@haas.berkeley.edu</w:t>
        </w:r>
      </w:hyperlink>
      <w:r>
        <w:rPr>
          <w:rFonts w:ascii="Times New Roman" w:hAnsi="Times New Roman" w:cs="Times New Roman"/>
        </w:rPr>
        <w:t xml:space="preserve"> or see our website at </w:t>
      </w:r>
      <w:hyperlink r:id="rId13" w:history="1">
        <w:r w:rsidRPr="00993B22">
          <w:rPr>
            <w:rStyle w:val="Hyperlink"/>
            <w:rFonts w:ascii="Times New Roman" w:hAnsi="Times New Roman" w:cs="Times New Roman"/>
          </w:rPr>
          <w:t>http://groups.haas.berkeley.edu/accounting/students/</w:t>
        </w:r>
      </w:hyperlink>
      <w:r>
        <w:rPr>
          <w:rFonts w:ascii="Times New Roman" w:hAnsi="Times New Roman" w:cs="Times New Roman"/>
        </w:rPr>
        <w:t xml:space="preserve"> .</w:t>
      </w:r>
    </w:p>
    <w:p w:rsidR="007302C8" w:rsidRDefault="007302C8" w:rsidP="007302C8">
      <w:pPr>
        <w:spacing w:after="0"/>
        <w:rPr>
          <w:rFonts w:ascii="Times New Roman" w:hAnsi="Times New Roman" w:cs="Times New Roman"/>
        </w:rPr>
      </w:pPr>
    </w:p>
    <w:p w:rsidR="0030590A" w:rsidRDefault="0030590A" w:rsidP="007302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additional information about registration, fees, policies, and student services, contact the Summer Sessions office at the University of California, Berkeley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gramEnd"/>
      <w:hyperlink r:id="rId14" w:history="1">
        <w:r w:rsidRPr="00E121F1">
          <w:rPr>
            <w:rStyle w:val="Hyperlink"/>
            <w:rFonts w:ascii="Times New Roman" w:hAnsi="Times New Roman" w:cs="Times New Roman"/>
          </w:rPr>
          <w:t>http://summer.berkeley.edu</w:t>
        </w:r>
      </w:hyperlink>
      <w:r>
        <w:rPr>
          <w:rFonts w:ascii="Times New Roman" w:hAnsi="Times New Roman" w:cs="Times New Roman"/>
        </w:rPr>
        <w:t xml:space="preserve"> ).</w:t>
      </w:r>
    </w:p>
    <w:sectPr w:rsidR="0030590A" w:rsidSect="001413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40D" w:rsidRDefault="00DE440D" w:rsidP="00543130">
      <w:pPr>
        <w:spacing w:after="0" w:line="240" w:lineRule="auto"/>
      </w:pPr>
      <w:r>
        <w:separator/>
      </w:r>
    </w:p>
  </w:endnote>
  <w:endnote w:type="continuationSeparator" w:id="0">
    <w:p w:rsidR="00DE440D" w:rsidRDefault="00DE440D" w:rsidP="0054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EBA" w:rsidRDefault="00B52E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EBA" w:rsidRDefault="00B52E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EBA" w:rsidRDefault="00B52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40D" w:rsidRDefault="00DE440D" w:rsidP="00543130">
      <w:pPr>
        <w:spacing w:after="0" w:line="240" w:lineRule="auto"/>
      </w:pPr>
      <w:r>
        <w:separator/>
      </w:r>
    </w:p>
  </w:footnote>
  <w:footnote w:type="continuationSeparator" w:id="0">
    <w:p w:rsidR="00DE440D" w:rsidRDefault="00DE440D" w:rsidP="00543130">
      <w:pPr>
        <w:spacing w:after="0" w:line="240" w:lineRule="auto"/>
      </w:pPr>
      <w:r>
        <w:continuationSeparator/>
      </w:r>
    </w:p>
  </w:footnote>
  <w:footnote w:id="1">
    <w:p w:rsidR="007302C8" w:rsidRDefault="007302C8">
      <w:pPr>
        <w:pStyle w:val="FootnoteText"/>
      </w:pPr>
      <w:r>
        <w:rPr>
          <w:rStyle w:val="FootnoteReference"/>
        </w:rPr>
        <w:footnoteRef/>
      </w:r>
      <w:r>
        <w:t xml:space="preserve"> If you plan on graduating in </w:t>
      </w:r>
      <w:proofErr w:type="gramStart"/>
      <w:r>
        <w:t>Spring</w:t>
      </w:r>
      <w:proofErr w:type="gramEnd"/>
      <w:r>
        <w:t xml:space="preserve"> 2013, you can still take Summer Sessions courses and register using </w:t>
      </w:r>
      <w:proofErr w:type="spellStart"/>
      <w:r>
        <w:t>TeleBEARS</w:t>
      </w:r>
      <w:proofErr w:type="spellEnd"/>
      <w:r>
        <w:t>. However, you will be considered a US Visiting Student for fee purposes.</w:t>
      </w:r>
    </w:p>
    <w:p w:rsidR="007B7F10" w:rsidRDefault="007B7F10">
      <w:pPr>
        <w:pStyle w:val="FootnoteText"/>
      </w:pPr>
    </w:p>
    <w:p w:rsidR="007B7F10" w:rsidRDefault="007B7F10">
      <w:pPr>
        <w:pStyle w:val="FootnoteText"/>
      </w:pPr>
      <w:r>
        <w:t>BRI</w:t>
      </w:r>
      <w:bookmarkStart w:id="0" w:name="_GoBack"/>
      <w:bookmarkEnd w:id="0"/>
      <w:r>
        <w:t>DGE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90A" w:rsidRDefault="003059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90A" w:rsidRDefault="003059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90A" w:rsidRDefault="003059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3AF0"/>
    <w:multiLevelType w:val="hybridMultilevel"/>
    <w:tmpl w:val="8A84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72F99"/>
    <w:multiLevelType w:val="hybridMultilevel"/>
    <w:tmpl w:val="3686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D215C"/>
    <w:multiLevelType w:val="hybridMultilevel"/>
    <w:tmpl w:val="0F2A2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BA5EF6"/>
    <w:multiLevelType w:val="hybridMultilevel"/>
    <w:tmpl w:val="A0C6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3130"/>
    <w:rsid w:val="00001148"/>
    <w:rsid w:val="001413BB"/>
    <w:rsid w:val="0016079A"/>
    <w:rsid w:val="0030590A"/>
    <w:rsid w:val="003F24E2"/>
    <w:rsid w:val="00543130"/>
    <w:rsid w:val="005B35E8"/>
    <w:rsid w:val="007302C8"/>
    <w:rsid w:val="007B7F10"/>
    <w:rsid w:val="008267C9"/>
    <w:rsid w:val="00962E81"/>
    <w:rsid w:val="009F66F0"/>
    <w:rsid w:val="00B52EBA"/>
    <w:rsid w:val="00B722A7"/>
    <w:rsid w:val="00CD66F9"/>
    <w:rsid w:val="00DB7B22"/>
    <w:rsid w:val="00DE440D"/>
    <w:rsid w:val="00DF454B"/>
    <w:rsid w:val="00E44813"/>
    <w:rsid w:val="00ED2A8A"/>
    <w:rsid w:val="00F03523"/>
    <w:rsid w:val="00F7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30"/>
  </w:style>
  <w:style w:type="paragraph" w:styleId="Footer">
    <w:name w:val="footer"/>
    <w:basedOn w:val="Normal"/>
    <w:link w:val="FooterChar"/>
    <w:uiPriority w:val="99"/>
    <w:unhideWhenUsed/>
    <w:rsid w:val="0054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30"/>
  </w:style>
  <w:style w:type="paragraph" w:styleId="ListParagraph">
    <w:name w:val="List Paragraph"/>
    <w:basedOn w:val="Normal"/>
    <w:uiPriority w:val="34"/>
    <w:qFormat/>
    <w:rsid w:val="009F66F0"/>
    <w:pPr>
      <w:ind w:left="720"/>
      <w:contextualSpacing/>
    </w:pPr>
  </w:style>
  <w:style w:type="table" w:styleId="TableGrid">
    <w:name w:val="Table Grid"/>
    <w:basedOn w:val="TableNormal"/>
    <w:uiPriority w:val="59"/>
    <w:rsid w:val="009F66F0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66F0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590A"/>
    <w:pPr>
      <w:spacing w:after="0" w:line="240" w:lineRule="auto"/>
      <w:jc w:val="center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59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0590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02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02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02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30"/>
  </w:style>
  <w:style w:type="paragraph" w:styleId="Footer">
    <w:name w:val="footer"/>
    <w:basedOn w:val="Normal"/>
    <w:link w:val="FooterChar"/>
    <w:uiPriority w:val="99"/>
    <w:unhideWhenUsed/>
    <w:rsid w:val="0054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roups.haas.berkeley.edu/accounting/students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cfrm@haas.berkeley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ummer.berkeley.edu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cid:72084AF4-C657-4EFB-93B6-E2B676004452@hsd1.ca.comcast.net.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summer.berkeley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4CAE06-7BBE-4FDE-B737-71A5E96C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Haas School of Business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Quinn</dc:creator>
  <cp:lastModifiedBy>user</cp:lastModifiedBy>
  <cp:revision>10</cp:revision>
  <cp:lastPrinted>2013-01-08T19:28:00Z</cp:lastPrinted>
  <dcterms:created xsi:type="dcterms:W3CDTF">2012-12-06T18:44:00Z</dcterms:created>
  <dcterms:modified xsi:type="dcterms:W3CDTF">2014-04-17T06:29:00Z</dcterms:modified>
</cp:coreProperties>
</file>