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Lucas Kikkawa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Perpetua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RA: 11201810415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color w:val="006633"/>
          <w:sz w:val="46"/>
          <w:szCs w:val="46"/>
        </w:rPr>
      </w:pPr>
      <w:bookmarkStart w:colFirst="0" w:colLast="0" w:name="_303v9enyog04" w:id="0"/>
      <w:bookmarkEnd w:id="0"/>
      <w:r w:rsidDel="00000000" w:rsidR="00000000" w:rsidRPr="00000000">
        <w:rPr>
          <w:color w:val="006633"/>
          <w:sz w:val="46"/>
          <w:szCs w:val="46"/>
          <w:rtl w:val="0"/>
        </w:rPr>
        <w:t xml:space="preserve">Análise de Dados para o Planejamento Territorial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Aula 02 - Exercícios RStudio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View(agua1)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219075</wp:posOffset>
            </wp:positionV>
            <wp:extent cx="7067808" cy="39147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808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ff0000"/>
          <w:sz w:val="50"/>
          <w:szCs w:val="50"/>
        </w:rPr>
      </w:pPr>
      <w:r w:rsidDel="00000000" w:rsidR="00000000" w:rsidRPr="00000000">
        <w:rPr>
          <w:b w:val="1"/>
          <w:color w:val="ff0000"/>
          <w:sz w:val="50"/>
          <w:szCs w:val="50"/>
          <w:rtl w:val="0"/>
        </w:rPr>
        <w:t xml:space="preserve">Gráficos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Box-plot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323850</wp:posOffset>
            </wp:positionV>
            <wp:extent cx="3910013" cy="3500307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500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3c78d8"/>
          <w:sz w:val="40"/>
          <w:szCs w:val="40"/>
        </w:rPr>
      </w:pPr>
      <w:r w:rsidDel="00000000" w:rsidR="00000000" w:rsidRPr="00000000">
        <w:rPr>
          <w:b w:val="1"/>
          <w:color w:val="3c78d8"/>
          <w:sz w:val="40"/>
          <w:szCs w:val="40"/>
          <w:rtl w:val="0"/>
        </w:rPr>
        <w:t xml:space="preserve">Histograma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884400</wp:posOffset>
            </wp:positionH>
            <wp:positionV relativeFrom="paragraph">
              <wp:posOffset>123825</wp:posOffset>
            </wp:positionV>
            <wp:extent cx="3957638" cy="39147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color w:val="1155cc"/>
          <w:sz w:val="48"/>
          <w:szCs w:val="48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QQplot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138117</wp:posOffset>
            </wp:positionV>
            <wp:extent cx="5433538" cy="543353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8" cy="54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