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Refatoração da Autenticação Huawei AICC para Acesso Direto (OAuth 2.0)</w:t>
      </w:r>
    </w:p>
    <w:p>
      <w:r>
        <w:t>Data: 27 de Abril de 2026</w:t>
      </w:r>
    </w:p>
    <w:p>
      <w:r>
        <w:t>Projeto: Auditoria</w:t>
      </w:r>
    </w:p>
    <w:p>
      <w:r>
        <w:t>Diretório Base: C:\Users\lucas.afonso\projetos\auditoria</w:t>
      </w:r>
    </w:p>
    <w:p>
      <w:r>
        <w:t>---</w:t>
      </w:r>
    </w:p>
    <w:p>
      <w:pPr>
        <w:pStyle w:val="Heading1"/>
      </w:pPr>
      <w:r>
        <w:t>1. Contexto e Objetivos</w:t>
      </w:r>
    </w:p>
    <w:p>
      <w:r>
        <w:t>Dando continuidade à homologação do IP Estático 35.199.111.152 na whitelist da Huawei (comprovado via Prova de Conceito isolada no Cloud Run), este relatório detalha a refatoração definitiva do cliente de integração da telefonia (huawei_client.py).</w:t>
      </w:r>
    </w:p>
    <w:p>
      <w:r>
        <w:t>O objetivo principal foi desativar a dependência do Proxy C2 (Teledata) e implementar nativamente o fluxo de autenticação direta oauth_direct, garantindo alta performance, segurança e alinhamento total com as especificações testadas via Postman.</w:t>
      </w:r>
    </w:p>
    <w:p>
      <w:pPr>
        <w:pStyle w:val="Heading1"/>
      </w:pPr>
      <w:r>
        <w:t>2. Atividade Principal: Implementação do Fluxo oauth_direct</w:t>
      </w:r>
    </w:p>
    <w:p>
      <w:pPr>
        <w:pStyle w:val="Heading2"/>
      </w:pPr>
      <w:r>
        <w:t>2.1. Arquitetura de Autenticação e Cache de Tokens</w:t>
      </w:r>
    </w:p>
    <w:p>
      <w:r>
        <w:t>A classe HuaweiAICCClient foi profundamente reestruturada para suportar múltiplos modos de autenticação de forma transparente:</w:t>
      </w:r>
    </w:p>
    <w:p>
      <w:pPr>
        <w:pStyle w:val="ListBullet"/>
      </w:pPr>
      <w:r>
        <w:t>- Novo Modo oauth_direct (Alias: token): Substitui a lógica antiga de assinatura HMAC e proxy. O sistema agora faz uma requisição inicial POST para tokenByAkSk utilizando as credenciais diretas do AICC.</w:t>
      </w:r>
    </w:p>
    <w:p>
      <w:pPr>
        <w:pStyle w:val="ListBullet"/>
      </w:pPr>
      <w:r>
        <w:t>- Gerenciamento de Estado (Cache): Para evitar sobrecarga de requisições de autenticação e risco de rate limiting por parte da Huawei (Erro 429), foi implementado um mecanismo de cache em memória do AccessToken.</w:t>
      </w:r>
    </w:p>
    <w:p>
      <w:r>
        <w:t xml:space="preserve">  - O token é armazenado com base no tempo de vida (campo expiresIn), que possui um default de 3300 segundos.</w:t>
      </w:r>
    </w:p>
    <w:p>
      <w:r>
        <w:t xml:space="preserve">  - Foi introduzido um buffer de segurança de 60 segundos, garantindo que o cliente solicite proativamente um novo token antes do atual expirar.</w:t>
      </w:r>
    </w:p>
    <w:p>
      <w:pPr>
        <w:pStyle w:val="Heading2"/>
      </w:pPr>
      <w:r>
        <w:t>2.2. Separação Estrita de Credenciais</w:t>
      </w:r>
    </w:p>
    <w:p>
      <w:r>
        <w:t>Para mitigar os falsos-positivos de bloqueio (Erro 403) causados por colisão de credenciais (onde chaves do proxy Teledata eram enviadas indevidamente para a porta oficial da Huawei), o sistema de injeção de dependências foi atualizado:</w:t>
      </w:r>
    </w:p>
    <w:p>
      <w:pPr>
        <w:pStyle w:val="ListBullet"/>
      </w:pPr>
      <w:r>
        <w:t>- Novas Variáveis Introduzidas:</w:t>
      </w:r>
    </w:p>
    <w:p>
      <w:r>
        <w:t xml:space="preserve">  - HUAWEI_DIRECT_APP_KEY</w:t>
      </w:r>
    </w:p>
    <w:p>
      <w:r>
        <w:t xml:space="preserve">  - HUAWEI_DIRECT_APP_SECRET</w:t>
      </w:r>
    </w:p>
    <w:p>
      <w:r>
        <w:t xml:space="preserve">  - HUAWEI_TENANT_SPACE_ID</w:t>
      </w:r>
    </w:p>
    <w:p>
      <w:pPr>
        <w:pStyle w:val="ListBullet"/>
      </w:pPr>
      <w:r>
        <w:t>- Lógica de Fallback: O código prioriza as chaves DIRECT_APP_*. Caso não existam, o sistema recorre às antigas HUAWEI_APP_KEY/SECRET para manter compatibilidade retroativa durante a transição.</w:t>
      </w:r>
    </w:p>
    <w:p>
      <w:pPr>
        <w:pStyle w:val="ListBullet"/>
      </w:pPr>
      <w:r>
        <w:t>- Otimização de Base URL: A auth_base_url agora é resolvida por precedência:</w:t>
      </w:r>
    </w:p>
    <w:p>
      <w:r>
        <w:t xml:space="preserve">  1. Override explícito.</w:t>
      </w:r>
    </w:p>
    <w:p>
      <w:r>
        <w:t xml:space="preserve">  2. Variável de ambiente (HUAWEI_AUTH_BASE_URL ou HUAWEI_PORTAL_URL).</w:t>
      </w:r>
    </w:p>
    <w:p>
      <w:r>
        <w:t xml:space="preserve">  3. Derivação inteligente do HUAWEI_CMS_URL, onde a porta de dados (:28443) é automaticamente suprimida para construir a URL do portal de governança.</w:t>
      </w:r>
    </w:p>
    <w:p>
      <w:pPr>
        <w:pStyle w:val="Heading2"/>
      </w:pPr>
      <w:r>
        <w:t>2.3. Formatação Canônica de Cabeçalhos (Headers)</w:t>
      </w:r>
    </w:p>
    <w:p>
      <w:r>
        <w:t>Para respeitar estritamente o WAF e o API Gateway da Huawei, a construção de cabeçalhos no modo oauth_direct foi ajustada:</w:t>
      </w:r>
    </w:p>
    <w:p>
      <w:pPr>
        <w:pStyle w:val="ListBullet"/>
      </w:pPr>
      <w:r>
        <w:t>- A propriedade Authorization passou a receber o valor prefixado por Bearer &lt;token&gt;.</w:t>
      </w:r>
    </w:p>
    <w:p>
      <w:pPr>
        <w:pStyle w:val="ListBullet"/>
      </w:pPr>
      <w:r>
        <w:t>- O cabeçalho X-APP-Key teve sua grafia forçada (uppercase), conforme exigência não-documentada descoberta via reverse engineering da coleção Postman.</w:t>
      </w:r>
    </w:p>
    <w:p>
      <w:pPr>
        <w:pStyle w:val="ListBullet"/>
      </w:pPr>
      <w:r>
        <w:t>- Inclusão sistemática do X-TenantSpaceID (Ex: 202509298231), crucial para roteamento multitenant no AICC.</w:t>
      </w:r>
    </w:p>
    <w:p>
      <w:r>
        <w:t>---</w:t>
      </w:r>
    </w:p>
    <w:p>
      <w:pPr>
        <w:pStyle w:val="Heading1"/>
      </w:pPr>
      <w:r>
        <w:t>3. Atividade Secundária: Resolução de Débitos Técnicos e Testes</w:t>
      </w:r>
    </w:p>
    <w:p>
      <w:pPr>
        <w:pStyle w:val="Heading2"/>
      </w:pPr>
      <w:r>
        <w:t>3.1. Restauração e Expansão da Suíte de Testes</w:t>
      </w:r>
    </w:p>
    <w:p>
      <w:r>
        <w:t>O ecossistema de testes unitários encontrava-se parcialmente degradado devido aos commits recentes da funcionalidade "Auditar Instantaneamente".</w:t>
      </w:r>
    </w:p>
    <w:p>
      <w:pPr>
        <w:pStyle w:val="ListBullet"/>
      </w:pPr>
      <w:r>
        <w:t>- Fila de Revisão (test_review_queue_contract.py): Foram corrigidos 2 testes classificados como stale (linhas 316 e 431). O erro decorria da ausência do assert para o novo status awaiting_pair, injetado recentemente.</w:t>
      </w:r>
    </w:p>
    <w:p>
      <w:pPr>
        <w:pStyle w:val="ListBullet"/>
      </w:pPr>
      <w:r>
        <w:t>- Cobertura do Cliente Huawei (test_huawei_client.py): Foram desenvolvidos 9 novos casos de teste dedicados à nova arquitetura, validando rigorosamente:</w:t>
      </w:r>
    </w:p>
    <w:p>
      <w:r>
        <w:t xml:space="preserve">  - Operação dos aliases de autenticação (token vs oauth_direct).</w:t>
      </w:r>
    </w:p>
    <w:p>
      <w:r>
        <w:t xml:space="preserve">  - Lógica de derivação e limpeza de portas do auth_base_url.</w:t>
      </w:r>
    </w:p>
    <w:p>
      <w:r>
        <w:t xml:space="preserve">  - Resiliência do fallback de credenciais.</w:t>
      </w:r>
    </w:p>
    <w:p>
      <w:r>
        <w:t xml:space="preserve">  - Validade do formato dos cabeçalhos (Bearer + Tenant).</w:t>
      </w:r>
    </w:p>
    <w:p>
      <w:r>
        <w:t xml:space="preserve">  - Funcionamento algorítmico do Cache Hit e do ciclo de Refetch pós-expiração.</w:t>
      </w:r>
    </w:p>
    <w:p>
      <w:pPr>
        <w:pStyle w:val="Heading2"/>
      </w:pPr>
      <w:r>
        <w:t>3.2. Resultado da Integração Contínua</w:t>
      </w:r>
    </w:p>
    <w:p>
      <w:r>
        <w:t>A execução combinada das suítes de teste (Huawei Client, Huawei Sync, OBS Client e Fila de Revisão) resultou em 38 testes aprovados (38/38 PASSED), assegurando que as novas implementações não causaram regressões na cadeia de automação.</w:t>
      </w:r>
    </w:p>
    <w:p>
      <w:r>
        <w:t>O arquivo .env.example e a documentação interna (docs/huawei/README.md) foram integralmente atualizados para refletir a nova topologia.</w:t>
      </w:r>
    </w:p>
    <w:p>
      <w:r>
        <w:t>---</w:t>
      </w:r>
    </w:p>
    <w:p>
      <w:pPr>
        <w:pStyle w:val="Heading1"/>
      </w:pPr>
      <w:r>
        <w:t>4. Plano de Ação: Implantação e Virada de Chave (Go-Live)</w:t>
      </w:r>
    </w:p>
    <w:p>
      <w:r>
        <w:t>O código está pronto e maduro. A ativação do fluxo direto na nuvem depende estritamente das seguintes variáveis de ambiente na aba "Variables &amp; Secrets" do Google Cloud Run (revisão auditoria-nstech):</w:t>
      </w:r>
    </w:p>
    <w:p>
      <w:r>
        <w:rPr>
          <w:rFonts w:ascii="Courier New" w:hAnsi="Courier New"/>
        </w:rPr>
        <w:t># Modo de Autenticação: Migração de Proxy para Acesso Direto</w:t>
        <w:br/>
      </w:r>
      <w:r>
        <w:rPr>
          <w:rFonts w:ascii="Courier New" w:hAnsi="Courier New"/>
        </w:rPr>
        <w:t>HUAWEI_AUTH_MODE=oauth_direct</w:t>
        <w:br/>
        <w:br/>
      </w:r>
      <w:r>
        <w:rPr>
          <w:rFonts w:ascii="Courier New" w:hAnsi="Courier New"/>
        </w:rPr>
        <w:t># Chaves Oficiais (AICC OAuth)</w:t>
        <w:br/>
      </w:r>
      <w:r>
        <w:rPr>
          <w:rFonts w:ascii="Courier New" w:hAnsi="Courier New"/>
        </w:rPr>
        <w:t>HUAWEI_DIRECT_APP_KEY=a536af2a-078b-4175-93b5-6028df298f6e</w:t>
        <w:br/>
      </w:r>
      <w:r>
        <w:rPr>
          <w:rFonts w:ascii="Courier New" w:hAnsi="Courier New"/>
        </w:rPr>
        <w:t>HUAWEI_DIRECT_APP_SECRET=c48bf61b43af92946185f7d8ef5341d0</w:t>
        <w:br/>
      </w:r>
      <w:r>
        <w:rPr>
          <w:rFonts w:ascii="Courier New" w:hAnsi="Courier New"/>
        </w:rPr>
        <w:t>HUAWEI_TENANT_SPACE_ID=202509298231</w:t>
        <w:br/>
      </w:r>
    </w:p>
    <w:p>
      <w:r>
        <w:t>(Nota de infraestrutura: Assim que o Cloud Run recarregar com as variáveis acima, o sistema descartará automaticamente o tráfego em direção ao script PHP da Teledata, passando a utilizar o IP 35.199.111.152 contra o portal nativo da Huawei).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