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MUUNEY HUB Geral — Errata &amp; Revisão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Data: 04/Abr/2026 | Revisor: Claude (Strategic Consultant)</w:t>
      </w:r>
    </w:p>
    <w:p>
      <w:pPr>
        <w:pBdr>
          <w:bottom w:val="single" w:color="0B6C3E" w:sz="6" w:space="1"/>
        </w:pBdr>
        <w:spacing w:after="200"/>
      </w:pPr>
    </w:p>
    <w:p>
      <w:pPr>
        <w:pStyle w:val="Heading1"/>
      </w:pPr>
      <w:r>
        <w:t xml:space="preserve">1. Correções Identificadas</w:t>
      </w:r>
    </w:p>
    <w:p>
      <w:pPr>
        <w:pStyle w:val="Heading2"/>
      </w:pPr>
      <w:r>
        <w:t xml:space="preserve">1.1 Série SGS 10810 Descontinuada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A série SGS 10810 (Rendimento Médio Real Habitual) listada na subcategoria Mercado de Trabalho retorna HTTP 404 na API do BACEN. A série foi descontinuada.</w:t>
      </w:r>
    </w:p>
    <w:p>
      <w:pPr>
        <w:spacing w:after="100"/>
      </w:pPr>
      <w:r>
        <w:rPr>
          <w:b/>
          <w:bCs/>
        </w:rPr>
        <w:t xml:space="preserve">Correção: </w:t>
      </w:r>
      <w:r>
        <w:t xml:space="preserve">Substituída por SGS 28544 (Massa Salarial Real — PNAD Contínua). Já implementado no muuney.hub (migration + frontend).</w:t>
      </w:r>
    </w:p>
    <w:p>
      <w:pPr>
        <w:spacing w:after="200"/>
      </w:pPr>
      <w:r>
        <w:rPr>
          <w:b/>
          <w:bCs/>
        </w:rPr>
        <w:t xml:space="preserve">Ação no documento: </w:t>
      </w:r>
      <w:r>
        <w:t xml:space="preserve">Na tabela do item 4 (Mercado de Trabalho), substituir linha 10810 por: 28544 | Massa Salarial Real | Mensal | Força de trabalho.</w:t>
      </w:r>
    </w:p>
    <w:p>
      <w:pPr>
        <w:pStyle w:val="Heading2"/>
      </w:pPr>
      <w:r>
        <w:t xml:space="preserve">1.2 Série SGS 13522 (IPCA 12m) — Instabilidade</w:t>
      </w:r>
    </w:p>
    <w:p>
      <w:pPr>
        <w:spacing w:after="200"/>
      </w:pPr>
      <w:r>
        <w:rPr>
          <w:b/>
          <w:bCs/>
        </w:rPr>
        <w:t xml:space="preserve">Problema: </w:t>
      </w:r>
      <w:r>
        <w:t xml:space="preserve">A série 13522 retorna erros 502 intermitentes (gateway timeout BACEN). Não é descontinuada, mas instavel.</w:t>
      </w:r>
      <w:r>
        <w:rPr>
          <w:b/>
          <w:bCs/>
        </w:rPr>
        <w:t xml:space="preserve"> Recomendação: </w:t>
      </w:r>
      <w:r>
        <w:t xml:space="preserve">Manter no documento, mas adicionar nota sobre fallback para cálculo derivado (IPCA mensal acumulado 12m).</w:t>
      </w:r>
    </w:p>
    <w:p>
      <w:pPr>
        <w:pStyle w:val="Heading2"/>
      </w:pPr>
      <w:r>
        <w:t xml:space="preserve">1.3 API Focus — Arquitetura Diferente do SGS</w:t>
      </w:r>
    </w:p>
    <w:p>
      <w:pPr>
        <w:spacing w:after="200"/>
      </w:pPr>
      <w:r>
        <w:rPr>
          <w:b/>
          <w:bCs/>
        </w:rPr>
        <w:t xml:space="preserve">Observação: </w:t>
      </w:r>
      <w:r>
        <w:t xml:space="preserve">O documento lista Expectativas de Mercado (seção 7) com códigos SGS (4449, 4440, 4466, 1405). Na prática, esses dados vêm da </w:t>
      </w:r>
      <w:r>
        <w:rPr>
          <w:b/>
          <w:bCs/>
        </w:rPr>
        <w:t xml:space="preserve">API Focus Expectativas</w:t>
      </w:r>
      <w:r>
        <w:t xml:space="preserve"> (olinda.bcb.gov.br/olinda/servico/Expectativas), que usa protocolo OData diferente do SGS REST. A implementação no muuney.hub usa códigos sintéticos 990001–990012 para evitar conflitos com SGS.</w:t>
      </w:r>
    </w:p>
    <w:p>
      <w:pPr>
        <w:pStyle w:val="Heading2"/>
      </w:pPr>
      <w:r>
        <w:t xml:space="preserve">1.4 Stack: React 18 + Vite 5 (não Next.js)</w:t>
      </w:r>
    </w:p>
    <w:p>
      <w:pPr>
        <w:spacing w:after="200"/>
      </w:pPr>
      <w:r>
        <w:t xml:space="preserve">O documento original não especificava stack frontend. Durante a implementação, optou-se por React 18 + Vite 5 + TypeScript strict (em vez de Next.js 14 App Router). Sem perdas significativas e com deploy Vercel funcional em hub.muuney.com.br.</w:t>
      </w:r>
    </w:p>
    <w:p>
      <w:r>
        <w:br w:type="page"/>
      </w:r>
    </w:p>
    <w:p>
      <w:pPr>
        <w:pStyle w:val="Heading1"/>
      </w:pPr>
      <w:r>
        <w:t xml:space="preserve">2. Gaps Identificados no Documento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de Alertas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menciona alertas genéricos. Não detalha thresholds padrão nem mecanismo (webhook, email, push).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Adicionar: desocupação &gt;8%, inadimplência &gt;4%, resultado primário &lt;-1%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Schedule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especifica frequência de atualização dos dados. pg_cron já implementado.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Adicionar: SGS diário 06:00 UTC, Focus semanal seg 07:00, CVM mensal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RCVM 175 Transição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aborda brevemente. Falta detalhar estratégia para fundos em transição (ICVM 555 → 175).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Implementado: ‘Classe Única’ virtual para fundos antigos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 B2C vs B2B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Mencionado em Fundos e Empresas, mas não nos módulos Macro e Crédito.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Padronizar: B2C (dados básicos) vs B2B (completo + export) em todos os módulos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não detalha disclaimers obrigatórios.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implementado: 6 disclaimers + guia editorial</w:t>
            </w:r>
          </w:p>
        </w:tc>
      </w:tr>
    </w:tbl>
    <w:p>
      <w:pPr>
        <w:pStyle w:val="Heading1"/>
        <w:spacing w:before="400"/>
      </w:pPr>
      <w:r>
        <w:t xml:space="preserve">3. Roadmap Granular — Subtasks Criadas no Notion</w:t>
      </w:r>
    </w:p>
    <w:p>
      <w:pPr>
        <w:spacing w:after="200"/>
      </w:pPr>
      <w:r>
        <w:t xml:space="preserve">34 subtasks granulares criadas e vinculadas às tasks mãe no Notion: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Macro (H1.1a)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subcategorias (9+5+7+9+9+7+6 séries) + análise estatística/preditiva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Abr–Mai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Crédito (H1.1b)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subcategorias (13+2+4+6+10+1 séries) + IF.data + análise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Abr–Mai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Fundos (H2.1)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ETL CVM + frontend busca/rentabilidade/carteira + FIDC/FII/FIP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Jun–Ago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Empresas (H2.1e)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DFP/ITR + fundamentalistas + dividendos + governança + screening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Jul–Ago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Educacional (H2.4)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Learning-in-Flow + trilhas + glossário/calculadoras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completa do documento v1 + análise integrada por módulo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Abr–Set 2026</w:t>
            </w:r>
          </w:p>
        </w:tc>
      </w:tr>
    </w:tbl>
    <w:p>
      <w:pPr>
        <w:pStyle w:val="Heading1"/>
        <w:spacing w:before="400"/>
      </w:pPr>
      <w:r>
        <w:t xml:space="preserve">4. Estado Atual da Implementação</w:t>
      </w:r>
    </w:p>
    <w:p>
      <w:pPr>
        <w:spacing w:after="80"/>
      </w:pPr>
      <w:r>
        <w:rPr>
          <w:b/>
          <w:bCs/>
        </w:rPr>
        <w:t xml:space="preserve">Módulo 1 (Macro): </w:t>
      </w:r>
      <w:r>
        <w:t xml:space="preserve">28 séries ativas, 7 subcategorias no frontend, Focus backend completo + frontend 80%. Trabalho e Fiscal implementados.</w:t>
      </w:r>
    </w:p>
    <w:p>
      <w:pPr>
        <w:spacing w:after="80"/>
      </w:pPr>
      <w:r>
        <w:rPr>
          <w:b/>
          <w:bCs/>
        </w:rPr>
        <w:t xml:space="preserve">Módulo 2 (Crédito): </w:t>
      </w:r>
      <w:r>
        <w:t xml:space="preserve">11 séries ativas, 5 subcategorias com dados reais, alertas automáticos funcionando. Category aliases fix deployed.</w:t>
      </w:r>
    </w:p>
    <w:p>
      <w:pPr>
        <w:spacing w:after="80"/>
      </w:pPr>
      <w:r>
        <w:rPr>
          <w:b/>
          <w:bCs/>
        </w:rPr>
        <w:t xml:space="preserve">Módulo 3 (Fundos): </w:t>
      </w:r>
      <w:r>
        <w:t xml:space="preserve">Não iniciado. Próximo grande milestone. 10 subtasks técnicas criadas.</w:t>
      </w:r>
    </w:p>
    <w:p>
      <w:pPr>
        <w:spacing w:after="80"/>
      </w:pPr>
      <w:r>
        <w:rPr>
          <w:b/>
          <w:bCs/>
        </w:rPr>
        <w:t xml:space="preserve">Módulo 4 (Empresas): </w:t>
      </w:r>
      <w:r>
        <w:t xml:space="preserve">Não iniciado. 6 subtasks criadas, depende de ETL CVM compartilhado com Fundos.</w:t>
      </w:r>
    </w:p>
    <w:p>
      <w:pPr>
        <w:spacing w:after="200"/>
      </w:pPr>
      <w:r>
        <w:rPr>
          <w:b/>
          <w:bCs/>
        </w:rPr>
        <w:t xml:space="preserve">Módulo 5 (Educacional): </w:t>
      </w:r>
      <w:r>
        <w:t xml:space="preserve">Blog já funcional (15+ artigos). Componentes Learning-in-Flow e Trilhas pendentes (3 subtasks).</w:t>
      </w:r>
    </w:p>
    <w:p>
      <w:pPr>
        <w:pBdr>
          <w:top w:val="single" w:color="0B6C3E" w:sz="4" w:space="1"/>
        </w:pBdr>
        <w:spacing w:before="400"/>
      </w:pPr>
    </w:p>
    <w:p>
      <w:pPr>
        <w:spacing w:before="80"/>
      </w:pPr>
      <w:r>
        <w:rPr>
          <w:i/>
          <w:iCs/>
          <w:color w:val="999999"/>
          <w:sz w:val="18"/>
          <w:szCs w:val="18"/>
        </w:rPr>
        <w:t xml:space="preserve">Documento gerado automaticamente via Cowork — 04/Abr/2026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6C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2026-04-04T03:23:43.857Z</dcterms:created>
  <dcterms:modified xsi:type="dcterms:W3CDTF">2026-04-04T03:23:43.857Z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