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Take-home_Ex01-phaseII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Luo</w:t>
      </w:r>
    </w:p>
    <w:p>
      <w:pPr>
        <w:pStyle w:val="Date"/>
      </w:pPr>
      <w:r>
        <w:t xml:space="preserve">2025-05-09</w:t>
      </w:r>
    </w:p>
    <w:bookmarkStart w:id="23" w:name="review-of-peer-submission-david-chiam"/>
    <w:p>
      <w:pPr>
        <w:pStyle w:val="Heading2"/>
      </w:pPr>
      <w:r>
        <w:t xml:space="preserve">✅ Review of Peer Submission: David Chiam</w:t>
      </w:r>
    </w:p>
    <w:p>
      <w:pPr>
        <w:pStyle w:val="FirstParagraph"/>
      </w:pPr>
      <w:r>
        <w:t xml:space="preserve">refer:https://isss608-davidchiam.netlify.app/take-home_ex/take-home_ex01/take-home_ex01</w:t>
      </w:r>
    </w:p>
    <w:bookmarkStart w:id="20" w:name="three-good-design-principles"/>
    <w:p>
      <w:pPr>
        <w:pStyle w:val="Heading3"/>
      </w:pPr>
      <w:r>
        <w:t xml:space="preserve">🌟 Three Good Design Principles</w:t>
      </w:r>
    </w:p>
    <w:p>
      <w:pPr>
        <w:pStyle w:val="FirstParagraph"/>
      </w:pPr>
      <w:r>
        <w:rPr>
          <w:bCs/>
          <w:b/>
        </w:rPr>
        <w:t xml:space="preserve">1. Effective Use of Visual Encodings</w:t>
      </w:r>
      <w:r>
        <w:br/>
      </w:r>
      <w:r>
        <w:t xml:space="preserve">David effectively applies core visualisation techniques by using mirrored bar charts for population pyramids and boxplots for median age distribution. In particular:</w:t>
      </w:r>
    </w:p>
    <w:p>
      <w:pPr>
        <w:numPr>
          <w:ilvl w:val="0"/>
          <w:numId w:val="1001"/>
        </w:numPr>
      </w:pPr>
      <w:r>
        <w:t xml:space="preserve">The mirrored bars in the pyramid chart enable immediate comparison between male and female cohorts.</w:t>
      </w:r>
    </w:p>
    <w:p>
      <w:pPr>
        <w:numPr>
          <w:ilvl w:val="0"/>
          <w:numId w:val="1001"/>
        </w:numPr>
      </w:pPr>
      <w:r>
        <w:t xml:space="preserve">The use of boxplots is apt for showing variability and central tendency (e.g., median age) across planning areas.</w:t>
      </w:r>
    </w:p>
    <w:p>
      <w:pPr>
        <w:numPr>
          <w:ilvl w:val="0"/>
          <w:numId w:val="1001"/>
        </w:numPr>
      </w:pPr>
      <w:r>
        <w:t xml:space="preserve">In the stacked bar chart, gender and age group differences are clearly segmented, leveraging hue and spatial separation.</w:t>
      </w:r>
    </w:p>
    <w:p>
      <w:pPr>
        <w:pStyle w:val="FirstParagraph"/>
      </w:pPr>
      <w:r>
        <w:rPr>
          <w:bCs/>
          <w:b/>
        </w:rPr>
        <w:t xml:space="preserve">2. Logical Flow and Visual Hierarchy</w:t>
      </w:r>
      <w:r>
        <w:br/>
      </w:r>
      <w:r>
        <w:t xml:space="preserve">The visualisation follows a logical and structured flow:</w:t>
      </w:r>
    </w:p>
    <w:p>
      <w:pPr>
        <w:numPr>
          <w:ilvl w:val="0"/>
          <w:numId w:val="1002"/>
        </w:numPr>
      </w:pPr>
      <w:r>
        <w:t xml:space="preserve">It begins with a high-level overview (e.g., gender share), then progressively narrows to specific planning area comparisons.</w:t>
      </w:r>
    </w:p>
    <w:p>
      <w:pPr>
        <w:numPr>
          <w:ilvl w:val="0"/>
          <w:numId w:val="1002"/>
        </w:numPr>
      </w:pPr>
      <w:r>
        <w:t xml:space="preserve">This top-down design facilitates cognitive flow and narrative pacing.</w:t>
      </w:r>
    </w:p>
    <w:p>
      <w:pPr>
        <w:numPr>
          <w:ilvl w:val="0"/>
          <w:numId w:val="1002"/>
        </w:numPr>
      </w:pPr>
      <w:r>
        <w:t xml:space="preserve">Clear section titles and cohesive subplot sequencing enhance usability.</w:t>
      </w:r>
    </w:p>
    <w:p>
      <w:pPr>
        <w:pStyle w:val="FirstParagraph"/>
      </w:pPr>
      <w:r>
        <w:rPr>
          <w:bCs/>
          <w:b/>
        </w:rPr>
        <w:t xml:space="preserve">3. Consistent and Minimalist Visual Theme</w:t>
      </w:r>
      <w:r>
        <w:br/>
      </w:r>
      <w:r>
        <w:t xml:space="preserve">David’s work maintains high aesthetic discipline:</w:t>
      </w:r>
    </w:p>
    <w:p>
      <w:pPr>
        <w:numPr>
          <w:ilvl w:val="0"/>
          <w:numId w:val="1003"/>
        </w:numPr>
      </w:pPr>
      <w:r>
        <w:t xml:space="preserve">Muted pastel tones reduce cognitive overload.</w:t>
      </w:r>
    </w:p>
    <w:p>
      <w:pPr>
        <w:numPr>
          <w:ilvl w:val="0"/>
          <w:numId w:val="1003"/>
        </w:numPr>
      </w:pPr>
      <w:r>
        <w:t xml:space="preserve">Consistent typography and plot margin spacing lend a polished appearance.</w:t>
      </w:r>
    </w:p>
    <w:p>
      <w:pPr>
        <w:numPr>
          <w:ilvl w:val="0"/>
          <w:numId w:val="1003"/>
        </w:numPr>
      </w:pPr>
      <w:r>
        <w:t xml:space="preserve">Axes, titles, and legends are harmonised across charts, which ensures clarity without redundancy.</w:t>
      </w:r>
    </w:p>
    <w:p>
      <w:r>
        <w:pict>
          <v:rect style="width:0;height:1.5pt" o:hralign="center" o:hrstd="t" o:hr="t"/>
        </w:pict>
      </w:r>
    </w:p>
    <w:bookmarkEnd w:id="20"/>
    <w:bookmarkStart w:id="21" w:name="X069984b2dd91c94ec5c8aa26c357d59d7721308"/>
    <w:p>
      <w:pPr>
        <w:pStyle w:val="Heading3"/>
      </w:pPr>
      <w:r>
        <w:t xml:space="preserve">⚠️ Three Areas for Improvement (and How We Address Them)</w:t>
      </w:r>
    </w:p>
    <w:p>
      <w:pPr>
        <w:pStyle w:val="FirstParagraph"/>
      </w:pPr>
      <w:r>
        <w:rPr>
          <w:bCs/>
          <w:b/>
        </w:rPr>
        <w:t xml:space="preserve">1. Lack of Annotations and Contextual Labels</w:t>
      </w:r>
      <w:r>
        <w:br/>
      </w:r>
      <w:r>
        <w:t xml:space="preserve">While David’s charts are clean, they often lack direct data labels or annotations. This limits interpretability:</w:t>
      </w:r>
    </w:p>
    <w:p>
      <w:pPr>
        <w:numPr>
          <w:ilvl w:val="0"/>
          <w:numId w:val="1004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</w:rPr>
        <w:t xml:space="preserve">Fix:</w:t>
      </w:r>
      <w:r>
        <w:t xml:space="preserve"> </w:t>
      </w:r>
      <w:r>
        <w:t xml:space="preserve">The makeover scatterplot adds dynamic labeling for outliers (e.g., Outram with high elderly share), improving insight at-a-glance.</w:t>
      </w:r>
    </w:p>
    <w:p>
      <w:pPr>
        <w:pStyle w:val="FirstParagraph"/>
      </w:pPr>
      <w:r>
        <w:rPr>
          <w:bCs/>
          <w:b/>
        </w:rPr>
        <w:t xml:space="preserve">2. Axis and Formatting Inconsistencies</w:t>
      </w:r>
      <w:r>
        <w:br/>
      </w:r>
      <w:r>
        <w:t xml:space="preserve">There are inconsistencies in axis label units (e.g., some show absolute numbers, others show percentages):</w:t>
      </w:r>
    </w:p>
    <w:p>
      <w:pPr>
        <w:numPr>
          <w:ilvl w:val="0"/>
          <w:numId w:val="1005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</w:rPr>
        <w:t xml:space="preserve">Fix:</w:t>
      </w:r>
      <w:r>
        <w:t xml:space="preserve"> </w:t>
      </w:r>
      <w:r>
        <w:t xml:space="preserve">In our makeover, all values are formatted uniformly using</w:t>
      </w:r>
      <w:r>
        <w:t xml:space="preserve"> </w:t>
      </w:r>
      <w:r>
        <w:rPr>
          <w:rStyle w:val="VerbatimChar"/>
        </w:rPr>
        <w:t xml:space="preserve">percent_format()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/1000</w:t>
      </w:r>
      <w:r>
        <w:t xml:space="preserve"> </w:t>
      </w:r>
      <w:r>
        <w:t xml:space="preserve">suffixes for population.</w:t>
      </w:r>
    </w:p>
    <w:p>
      <w:pPr>
        <w:pStyle w:val="FirstParagraph"/>
      </w:pPr>
      <w:r>
        <w:rPr>
          <w:bCs/>
          <w:b/>
        </w:rPr>
        <w:t xml:space="preserve">3. Redundant Charts and Missed Insight Opportunities</w:t>
      </w:r>
      <w:r>
        <w:br/>
      </w:r>
      <w:r>
        <w:t xml:space="preserve">Some charts display similar gender breakdowns without revealing new dimensions. At the same time, insightful metrics like the elderly/youth ratio are missing:</w:t>
      </w:r>
    </w:p>
    <w:p>
      <w:pPr>
        <w:numPr>
          <w:ilvl w:val="0"/>
          <w:numId w:val="1006"/>
        </w:numPr>
        <w:pStyle w:val="Compact"/>
      </w:pPr>
      <w:r>
        <w:t xml:space="preserve">✅</w:t>
      </w:r>
      <w:r>
        <w:t xml:space="preserve"> </w:t>
      </w:r>
      <w:r>
        <w:rPr>
          <w:iCs/>
          <w:i/>
        </w:rPr>
        <w:t xml:space="preserve">Fix:</w:t>
      </w:r>
      <w:r>
        <w:t xml:space="preserve"> </w:t>
      </w:r>
      <w:r>
        <w:t xml:space="preserve">We introduced a derived metric (</w:t>
      </w:r>
      <w:r>
        <w:rPr>
          <w:rStyle w:val="VerbatimChar"/>
        </w:rPr>
        <w:t xml:space="preserve">Elderly_to_Youth</w:t>
      </w:r>
      <w:r>
        <w:t xml:space="preserve">) and plotted it against population size and aging ratio, unveiling patterns not covered in the original submission.</w:t>
      </w:r>
    </w:p>
    <w:p>
      <w:r>
        <w:pict>
          <v:rect style="width:0;height:1.5pt" o:hralign="center" o:hrstd="t" o:hr="t"/>
        </w:pict>
      </w:r>
    </w:p>
    <w:bookmarkEnd w:id="21"/>
    <w:bookmarkStart w:id="22" w:name="X94617ac1b28f77754c5b06bd9598c93cd5b78c6"/>
    <w:p>
      <w:pPr>
        <w:pStyle w:val="Heading3"/>
      </w:pPr>
      <w:r>
        <w:t xml:space="preserve">🛠️ Makeover: Intergenerational Analysis (Static Version)</w:t>
      </w:r>
    </w:p>
    <w:p>
      <w:pPr>
        <w:pStyle w:val="FirstParagraph"/>
      </w:pPr>
      <w:r>
        <w:t xml:space="preserve">Load required packages 📦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tidyverse,     </w:t>
      </w:r>
      <w:r>
        <w:rPr>
          <w:rStyle w:val="CommentTok"/>
        </w:rPr>
        <w:t xml:space="preserve"># Core data manipulation and ggplot2 plotting</w:t>
      </w:r>
      <w:r>
        <w:br/>
      </w:r>
      <w:r>
        <w:rPr>
          <w:rStyle w:val="NormalTok"/>
        </w:rPr>
        <w:t xml:space="preserve">  knitr,         </w:t>
      </w:r>
      <w:r>
        <w:rPr>
          <w:rStyle w:val="CommentTok"/>
        </w:rPr>
        <w:t xml:space="preserve"># Dynamic report generation and rendering</w:t>
      </w:r>
      <w:r>
        <w:br/>
      </w:r>
      <w:r>
        <w:rPr>
          <w:rStyle w:val="NormalTok"/>
        </w:rPr>
        <w:t xml:space="preserve">  patchwork,     </w:t>
      </w:r>
      <w:r>
        <w:rPr>
          <w:rStyle w:val="CommentTok"/>
        </w:rPr>
        <w:t xml:space="preserve"># Combines multiple ggplot2 plots</w:t>
      </w:r>
      <w:r>
        <w:br/>
      </w:r>
      <w:r>
        <w:rPr>
          <w:rStyle w:val="NormalTok"/>
        </w:rPr>
        <w:t xml:space="preserve">  ggthemes,      </w:t>
      </w:r>
      <w:r>
        <w:rPr>
          <w:rStyle w:val="CommentTok"/>
        </w:rPr>
        <w:t xml:space="preserve"># Additional themes and visual styles</w:t>
      </w:r>
      <w:r>
        <w:br/>
      </w:r>
      <w:r>
        <w:rPr>
          <w:rStyle w:val="NormalTok"/>
        </w:rPr>
        <w:t xml:space="preserve">  scales,        </w:t>
      </w:r>
      <w:r>
        <w:rPr>
          <w:rStyle w:val="CommentTok"/>
        </w:rPr>
        <w:t xml:space="preserve"># Formatting axes, scales, and labels</w:t>
      </w:r>
      <w:r>
        <w:br/>
      </w:r>
      <w:r>
        <w:rPr>
          <w:rStyle w:val="NormalTok"/>
        </w:rPr>
        <w:t xml:space="preserve">  ggtext,        </w:t>
      </w:r>
      <w:r>
        <w:rPr>
          <w:rStyle w:val="CommentTok"/>
        </w:rPr>
        <w:t xml:space="preserve"># Rich text formatting in ggplot titles/labels</w:t>
      </w:r>
      <w:r>
        <w:br/>
      </w:r>
      <w:r>
        <w:rPr>
          <w:rStyle w:val="NormalTok"/>
        </w:rPr>
        <w:t xml:space="preserve">  ggalt,         </w:t>
      </w:r>
      <w:r>
        <w:rPr>
          <w:rStyle w:val="CommentTok"/>
        </w:rPr>
        <w:t xml:space="preserve"># Dumbbell, lollipop, and other advanced geoms</w:t>
      </w:r>
      <w:r>
        <w:br/>
      </w:r>
      <w:r>
        <w:rPr>
          <w:rStyle w:val="NormalTok"/>
        </w:rPr>
        <w:t xml:space="preserve">  ggridges,      </w:t>
      </w:r>
      <w:r>
        <w:rPr>
          <w:rStyle w:val="CommentTok"/>
        </w:rPr>
        <w:t xml:space="preserve"># Ridgeline plots to visualize distributions</w:t>
      </w:r>
      <w:r>
        <w:br/>
      </w:r>
      <w:r>
        <w:rPr>
          <w:rStyle w:val="NormalTok"/>
        </w:rPr>
        <w:t xml:space="preserve">  ggpubr,        </w:t>
      </w:r>
      <w:r>
        <w:rPr>
          <w:rStyle w:val="CommentTok"/>
        </w:rPr>
        <w:t xml:space="preserve"># Publication-ready ggplot2 enhancements</w:t>
      </w:r>
      <w:r>
        <w:br/>
      </w:r>
      <w:r>
        <w:rPr>
          <w:rStyle w:val="NormalTok"/>
        </w:rPr>
        <w:t xml:space="preserve">  ggExtra,       </w:t>
      </w:r>
      <w:r>
        <w:rPr>
          <w:rStyle w:val="CommentTok"/>
        </w:rPr>
        <w:t xml:space="preserve"># Marginal plots for added insight</w:t>
      </w:r>
      <w:r>
        <w:br/>
      </w:r>
      <w:r>
        <w:rPr>
          <w:rStyle w:val="NormalTok"/>
        </w:rPr>
        <w:t xml:space="preserve">  cowplot,       </w:t>
      </w:r>
      <w:r>
        <w:rPr>
          <w:rStyle w:val="CommentTok"/>
        </w:rPr>
        <w:t xml:space="preserve"># Publication-quality figure alignment</w:t>
      </w:r>
      <w:r>
        <w:br/>
      </w:r>
      <w:r>
        <w:rPr>
          <w:rStyle w:val="NormalTok"/>
        </w:rPr>
        <w:t xml:space="preserve">  ggnewscale,    </w:t>
      </w:r>
      <w:r>
        <w:rPr>
          <w:rStyle w:val="CommentTok"/>
        </w:rPr>
        <w:t xml:space="preserve"># Allows multiple color/fill scales in one ggplot</w:t>
      </w:r>
      <w:r>
        <w:br/>
      </w:r>
      <w:r>
        <w:rPr>
          <w:rStyle w:val="NormalTok"/>
        </w:rPr>
        <w:t xml:space="preserve">  ggrepel        </w:t>
      </w:r>
      <w:r>
        <w:rPr>
          <w:rStyle w:val="CommentTok"/>
        </w:rPr>
        <w:t xml:space="preserve"># Allows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Loading the Data and Taking a Glimpse of the Dataset 📂</w:t>
      </w:r>
    </w:p>
    <w:p>
      <w:pPr>
        <w:pStyle w:val="SourceCode"/>
      </w:pPr>
      <w:r>
        <w:rPr>
          <w:rStyle w:val="CommentTok"/>
        </w:rPr>
        <w:t xml:space="preserve"># Load the dataset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"data/respopagesex2024.csv"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dataset contains 60,424 rows and 6 columns. Each row represents the count of residents for a specific combination of planning area, subzone, age, sex, and year.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(df)</w:t>
      </w:r>
    </w:p>
    <w:p>
      <w:pPr>
        <w:pStyle w:val="SourceCode"/>
      </w:pPr>
      <w:r>
        <w:rPr>
          <w:rStyle w:val="VerbatimChar"/>
        </w:rPr>
        <w:t xml:space="preserve">Rows: 60,424</w:t>
      </w:r>
      <w:r>
        <w:br/>
      </w:r>
      <w:r>
        <w:rPr>
          <w:rStyle w:val="VerbatimChar"/>
        </w:rPr>
        <w:t xml:space="preserve">Columns: 6</w:t>
      </w:r>
      <w:r>
        <w:br/>
      </w:r>
      <w:r>
        <w:rPr>
          <w:rStyle w:val="VerbatimChar"/>
        </w:rPr>
        <w:t xml:space="preserve">$ PA   &lt;chr&gt; "Ang Mo Kio", "Ang Mo Kio", "Ang Mo Kio", "Ang Mo Kio", "Ang Mo K…</w:t>
      </w:r>
      <w:r>
        <w:br/>
      </w:r>
      <w:r>
        <w:rPr>
          <w:rStyle w:val="VerbatimChar"/>
        </w:rPr>
        <w:t xml:space="preserve">$ SZ   &lt;chr&gt; "Ang Mo Kio Town Centre", "Ang Mo Kio Town Centre", "Ang Mo Kio T…</w:t>
      </w:r>
      <w:r>
        <w:br/>
      </w:r>
      <w:r>
        <w:rPr>
          <w:rStyle w:val="VerbatimChar"/>
        </w:rPr>
        <w:t xml:space="preserve">$ Age  &lt;chr&gt; "0", "0", "1", "1", "2", "2", "3", "3", "4", "4", "5", "5", "6", …</w:t>
      </w:r>
      <w:r>
        <w:br/>
      </w:r>
      <w:r>
        <w:rPr>
          <w:rStyle w:val="VerbatimChar"/>
        </w:rPr>
        <w:t xml:space="preserve">$ Sex  &lt;chr&gt; "Males", "Females", "Males", "Females", "Males", "Females", "Male…</w:t>
      </w:r>
      <w:r>
        <w:br/>
      </w:r>
      <w:r>
        <w:rPr>
          <w:rStyle w:val="VerbatimChar"/>
        </w:rPr>
        <w:t xml:space="preserve">$ Pop  &lt;dbl&gt; 10, 10, 10, 10, 10, 10, 10, 10, 30, 10, 20, 10, 20, 30, 30, 10, 3…</w:t>
      </w:r>
      <w:r>
        <w:br/>
      </w:r>
      <w:r>
        <w:rPr>
          <w:rStyle w:val="VerbatimChar"/>
        </w:rPr>
        <w:t xml:space="preserve">$ Time &lt;dbl&gt; 2024, 2024, 2024, 2024, 2024, 2024, 2024, 2024, 2024, 2024, 2024,…</w:t>
      </w:r>
    </w:p>
    <w:p>
      <w:pPr>
        <w:pStyle w:val="FirstParagraph"/>
      </w:pPr>
      <w:r>
        <w:t xml:space="preserve">Wrangling, Cleaning &amp; Transformation 🧹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(Age))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Convert to numeric (100+ becomes NA)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(Age)                       </w:t>
      </w:r>
      <w:r>
        <w:rPr>
          <w:rStyle w:val="CommentTok"/>
        </w:rPr>
        <w:t xml:space="preserve"># Remove missing values caused by conversion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</w:t>
      </w:r>
      <w:r>
        <w:rPr>
          <w:rStyle w:val="NormalTok"/>
        </w:rPr>
        <w:t xml:space="preserve">(Age,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Inf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"5-9"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"10-14"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"15-19"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"20-24"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"25-29"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"30-34"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"35-39"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"40-44"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"45-49"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"50-54"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"55-59"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"60-64"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"65-69"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"70-74"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"75-79"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"80-84"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"85-89"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"90-94"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"95-99"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"100+"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right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For population pyramid (Age-Sex)</w:t>
      </w:r>
      <w:r>
        <w:br/>
      </w: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(Age, Sex)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For top 5 planning areas</w:t>
      </w:r>
      <w:r>
        <w:br/>
      </w:r>
      <w:r>
        <w:rPr>
          <w:rStyle w:val="NormalTok"/>
        </w:rPr>
        <w:t xml:space="preserve">top5_pa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order_by =</w:t>
      </w:r>
      <w:r>
        <w:rPr>
          <w:rStyle w:val="NormalTok"/>
        </w:rPr>
        <w:t xml:space="preserve"> Pop,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str_trim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str_to_upper</w:t>
      </w:r>
      <w:r>
        <w:rPr>
          <w:rStyle w:val="NormalTok"/>
        </w:rPr>
        <w:t xml:space="preserve">(PA)),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"BISHAN"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MERAH"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TIMAH"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"CENTRAL AREA"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"DOWNTOWN CORE"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"GEYLANG"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"KALLANG"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"MARINA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"MARINA SOUTH"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"MUSEUM"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"NEWTON"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"NOVENA"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"ORCHARD"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"OUTRAM"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"PAYA LEBAR"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"QUEENSTOWN"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"RIVER VALLEY"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"ROCHOR"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"SINGAPORE RIVER"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"SOUTHERN ISLANDS"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"STRAITS VIEW"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"TANGLIN"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"TOA PAYOH"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"MARINE PARADE"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"Central"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"BEDOK"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"CHANGI BAY"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"PASIR RIS"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"TAMPINES"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"CENTRAL WATER CATCHMENT"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"MANDAI"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"SEMBABWANG"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"SIMPANG"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"SUNGEI KADUT"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"WOODLANDS"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"YISHUN"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"SEMBAWANG"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"ANG MO KIO"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"HOUGANG"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"NORTH-EASTERN ISLANDS"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"PUNGGOL"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"SELETAR"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"SENGKANG"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"SERANGOON"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"North-East"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PA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"BOON 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BATOK"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"BUKIT PANJANG"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"CHOA CHU KANG"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"CLEMENTI"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"JURONG EAST"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"JURONG WEST"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"LIM CHU KANG"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"PIONEER"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"TENGAH"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"TUAS"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"WESTERN ISLANDS"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"WESTERN WATER CATCHMENT"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NA_character_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df_median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(Age)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cum_pop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cumsum</w:t>
      </w:r>
      <w:r>
        <w:rPr>
          <w:rStyle w:val="NormalTok"/>
        </w:rPr>
        <w:t xml:space="preserve">(Pop),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total_pop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(cum_pop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total_pop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median_age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df_median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GenerationBand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&amp; Gen Z (0–24)"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 Adults (25–34)"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"Working Adults (35–54)"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"Silver Generation (55–64)"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"Merdeka Generation (65–74)"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"Pioneer Generation (75+)"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GenerationBand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(GenerationBand,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"Alpha &amp; Gen Z (0–24)"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"Young Adults (25–34)"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"Working Adults (35–54)"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"Silver Generation (55–64)"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"Merdeka Generation (65–74)"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"Pioneer Generation (75+)"</w:t>
      </w:r>
      <w:r>
        <w:br/>
      </w:r>
      <w:r>
        <w:rPr>
          <w:rStyle w:val="NormalTok"/>
        </w:rPr>
        <w:t xml:space="preserve">    ))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t xml:space="preserve">🔍 Interpretation</w:t>
      </w:r>
    </w:p>
    <w:p>
      <w:pPr>
        <w:pStyle w:val="BodyText"/>
      </w:pPr>
      <w:r>
        <w:t xml:space="preserve">This interactive scatterplot allows users to:</w:t>
      </w:r>
    </w:p>
    <w:p>
      <w:pPr>
        <w:pStyle w:val="BodyText"/>
      </w:pPr>
      <w:r>
        <w:t xml:space="preserve">Identify areas with high elderly population shares despite small total populations (e.g., Outram).</w:t>
      </w:r>
    </w:p>
    <w:p>
      <w:pPr>
        <w:pStyle w:val="BodyText"/>
      </w:pPr>
      <w:r>
        <w:t xml:space="preserve">Compare elderly shares across all areas by hovering over each dot.</w:t>
      </w:r>
    </w:p>
    <w:p>
      <w:pPr>
        <w:pStyle w:val="BodyText"/>
      </w:pPr>
      <w:r>
        <w:t xml:space="preserve">Understand population pressure points for aging infrastructure and services.</w:t>
      </w:r>
    </w:p>
    <w:p>
      <w:pPr>
        <w:pStyle w:val="BodyText"/>
      </w:pPr>
      <w:r>
        <w:t xml:space="preserve">📌 Conclusion</w:t>
      </w:r>
    </w:p>
    <w:p>
      <w:pPr>
        <w:pStyle w:val="BodyText"/>
      </w:pPr>
      <w:r>
        <w:t xml:space="preserve">David’s work is well-designed and informative. With just a few enhancements such as interactivity, annotation, and layout consistency, the overall impact of the visuals can be significantly increased. The proposed makeover demonstrates how a single interactive visual can provide richer engagement while maintaining visual clarity.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Take-home_Ex01-phaseII</dc:title>
  <dc:creator>Lucas Luo</dc:creator>
  <cp:keywords/>
  <dcterms:created xsi:type="dcterms:W3CDTF">2025-05-11T03:09:25Z</dcterms:created>
  <dcterms:modified xsi:type="dcterms:W3CDTF">2025-05-11T03:09:25Z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2025-05-09</vt:lpwstr>
  </property>
  <property fmtid="{D5CDD505-2E9C-101B-9397-08002B2CF9AE}" pid="6" name="date-modified">
    <vt:lpwstr>2025-05-11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